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1B1EAB3E" w:rsidR="00116B51" w:rsidRPr="00DA12F7" w:rsidRDefault="00116B51" w:rsidP="00116B51">
      <w:pPr>
        <w:tabs>
          <w:tab w:val="right" w:pos="9630"/>
        </w:tabs>
        <w:spacing w:after="0"/>
      </w:pPr>
      <w:r w:rsidRPr="00DA12F7">
        <w:rPr>
          <w:rFonts w:ascii="Arial" w:hAnsi="Arial" w:cs="Arial"/>
          <w:b/>
          <w:sz w:val="24"/>
        </w:rPr>
        <w:t>3GPP TSG RAN WG1 #</w:t>
      </w:r>
      <w:r w:rsidR="00FA436E">
        <w:rPr>
          <w:rFonts w:ascii="Arial" w:hAnsi="Arial" w:cs="Arial"/>
          <w:b/>
          <w:sz w:val="24"/>
        </w:rPr>
        <w:t>90</w:t>
      </w:r>
      <w:r w:rsidR="00CC48C1">
        <w:rPr>
          <w:rFonts w:ascii="Arial" w:hAnsi="Arial" w:cs="Arial"/>
          <w:b/>
          <w:sz w:val="24"/>
        </w:rPr>
        <w:t>b</w:t>
      </w:r>
      <w:r w:rsidRPr="00DA12F7">
        <w:rPr>
          <w:rFonts w:ascii="Arial" w:hAnsi="Arial" w:cs="Arial"/>
          <w:b/>
          <w:sz w:val="24"/>
        </w:rPr>
        <w:tab/>
      </w:r>
      <w:r w:rsidR="007A32F0" w:rsidRPr="007A32F0">
        <w:rPr>
          <w:rFonts w:ascii="Arial" w:hAnsi="Arial" w:cs="Arial"/>
          <w:b/>
          <w:sz w:val="24"/>
        </w:rPr>
        <w:t>R1-</w:t>
      </w:r>
      <w:r w:rsidR="00143D50" w:rsidRPr="007A32F0">
        <w:rPr>
          <w:rFonts w:ascii="Arial" w:hAnsi="Arial" w:cs="Arial"/>
          <w:b/>
          <w:sz w:val="24"/>
        </w:rPr>
        <w:t>17</w:t>
      </w:r>
      <w:r w:rsidR="00143D50">
        <w:rPr>
          <w:rFonts w:ascii="Arial" w:hAnsi="Arial" w:cs="Arial"/>
          <w:b/>
          <w:sz w:val="24"/>
        </w:rPr>
        <w:t>18162</w:t>
      </w:r>
    </w:p>
    <w:p w14:paraId="50FFBAF8" w14:textId="2975A7E8" w:rsidR="00116B51" w:rsidRPr="00DA12F7" w:rsidRDefault="00834182" w:rsidP="00116B51">
      <w:pPr>
        <w:tabs>
          <w:tab w:val="right" w:pos="9630"/>
        </w:tabs>
        <w:spacing w:after="0"/>
        <w:rPr>
          <w:rFonts w:ascii="Arial" w:hAnsi="Arial" w:cs="Arial"/>
          <w:b/>
          <w:sz w:val="24"/>
          <w:szCs w:val="24"/>
        </w:rPr>
      </w:pPr>
      <w:r>
        <w:rPr>
          <w:rFonts w:ascii="Arial" w:hAnsi="Arial" w:cs="Arial"/>
          <w:b/>
          <w:sz w:val="24"/>
          <w:szCs w:val="24"/>
        </w:rPr>
        <w:t>October</w:t>
      </w:r>
      <w:r w:rsidR="00116B51">
        <w:rPr>
          <w:rFonts w:ascii="Arial" w:hAnsi="Arial" w:cs="Arial"/>
          <w:b/>
          <w:sz w:val="24"/>
          <w:szCs w:val="24"/>
        </w:rPr>
        <w:t xml:space="preserve"> </w:t>
      </w:r>
      <w:r>
        <w:rPr>
          <w:rFonts w:ascii="Arial" w:hAnsi="Arial" w:cs="Arial"/>
          <w:b/>
          <w:sz w:val="24"/>
          <w:szCs w:val="24"/>
        </w:rPr>
        <w:t>9</w:t>
      </w:r>
      <w:r w:rsidRPr="00834182">
        <w:rPr>
          <w:rFonts w:ascii="Arial" w:hAnsi="Arial" w:cs="Arial"/>
          <w:b/>
          <w:sz w:val="24"/>
          <w:szCs w:val="24"/>
          <w:vertAlign w:val="superscript"/>
        </w:rPr>
        <w:t>th</w:t>
      </w:r>
      <w:r>
        <w:rPr>
          <w:rFonts w:ascii="Arial" w:hAnsi="Arial" w:cs="Arial"/>
          <w:b/>
          <w:sz w:val="24"/>
          <w:szCs w:val="24"/>
        </w:rPr>
        <w:t xml:space="preserve"> </w:t>
      </w:r>
      <w:r w:rsidR="00FA436E">
        <w:rPr>
          <w:rFonts w:ascii="Arial" w:hAnsi="Arial" w:cs="Arial"/>
          <w:b/>
          <w:sz w:val="24"/>
          <w:szCs w:val="24"/>
        </w:rPr>
        <w:t xml:space="preserve">– </w:t>
      </w:r>
      <w:r>
        <w:rPr>
          <w:rFonts w:ascii="Arial" w:hAnsi="Arial" w:cs="Arial"/>
          <w:b/>
          <w:sz w:val="24"/>
          <w:szCs w:val="24"/>
        </w:rPr>
        <w:t>13</w:t>
      </w:r>
      <w:r w:rsidR="000E38F6" w:rsidRPr="000E38F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3EDA23F4" w:rsidR="00116B51" w:rsidRPr="00DA12F7" w:rsidRDefault="00FA436E" w:rsidP="00116B51">
      <w:pPr>
        <w:rPr>
          <w:rFonts w:ascii="Arial" w:hAnsi="Arial" w:cs="Arial"/>
          <w:b/>
          <w:sz w:val="24"/>
          <w:szCs w:val="24"/>
        </w:rPr>
      </w:pPr>
      <w:r>
        <w:rPr>
          <w:rFonts w:ascii="Arial" w:hAnsi="Arial" w:cs="Arial"/>
          <w:b/>
          <w:sz w:val="24"/>
          <w:szCs w:val="24"/>
        </w:rPr>
        <w:t>Prague, Czech Republic</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7F1AD281"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834182">
        <w:rPr>
          <w:rFonts w:ascii="Arial" w:hAnsi="Arial"/>
          <w:sz w:val="24"/>
        </w:rPr>
        <w:t>6</w:t>
      </w:r>
      <w:r w:rsidR="001720D7">
        <w:rPr>
          <w:rFonts w:ascii="Arial" w:hAnsi="Arial"/>
          <w:sz w:val="24"/>
        </w:rPr>
        <w:t>.2.</w:t>
      </w:r>
      <w:r w:rsidR="00834182">
        <w:rPr>
          <w:rFonts w:ascii="Arial" w:hAnsi="Arial"/>
          <w:sz w:val="24"/>
        </w:rPr>
        <w:t>9</w:t>
      </w:r>
      <w:r w:rsidR="000E38F6">
        <w:rPr>
          <w:rFonts w:ascii="Arial" w:hAnsi="Arial"/>
          <w:sz w:val="24"/>
        </w:rPr>
        <w:t>.</w:t>
      </w:r>
      <w:r w:rsidR="00EF4E5E">
        <w:rPr>
          <w:rFonts w:ascii="Arial" w:hAnsi="Arial"/>
          <w:sz w:val="24"/>
        </w:rPr>
        <w:t>2</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10997BBE"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EF4E5E">
        <w:rPr>
          <w:rFonts w:ascii="Arial" w:hAnsi="Arial"/>
          <w:sz w:val="24"/>
        </w:rPr>
        <w:t>Evaluations Scenarios</w:t>
      </w:r>
      <w:r w:rsidR="00834182">
        <w:rPr>
          <w:rFonts w:ascii="Arial" w:hAnsi="Arial"/>
          <w:sz w:val="24"/>
        </w:rPr>
        <w:t xml:space="preserve"> </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1441EB7D" w14:textId="07FA5DDF" w:rsidR="003522C9" w:rsidRPr="004A70E9" w:rsidRDefault="004A70E9" w:rsidP="004A70E9">
      <w:pPr>
        <w:jc w:val="both"/>
      </w:pPr>
      <w:r w:rsidRPr="004A70E9">
        <w:t xml:space="preserve">In [1], we </w:t>
      </w:r>
      <w:r w:rsidR="007A6771">
        <w:t>discuss</w:t>
      </w:r>
      <w:r w:rsidR="00C93941">
        <w:t xml:space="preserve"> </w:t>
      </w:r>
      <w:r w:rsidR="00430157">
        <w:t xml:space="preserve">different reliability and latency </w:t>
      </w:r>
      <w:r w:rsidR="000A197C">
        <w:t xml:space="preserve">requirements that can be considered toward the study of </w:t>
      </w:r>
      <w:r w:rsidR="00C93941">
        <w:t xml:space="preserve">the </w:t>
      </w:r>
      <w:r w:rsidR="000A197C">
        <w:t>LTE</w:t>
      </w:r>
      <w:r w:rsidR="00C93941">
        <w:t>-</w:t>
      </w:r>
      <w:r w:rsidR="000A197C">
        <w:t xml:space="preserve"> URLLC systems. This paper provides more details on the evaluations scenarios and the performance metrics that can be used.</w:t>
      </w:r>
      <w:r w:rsidR="00DB4896">
        <w:t xml:space="preserve"> </w:t>
      </w:r>
    </w:p>
    <w:p w14:paraId="6714594E" w14:textId="44C41699" w:rsidR="00816432" w:rsidRDefault="00491EEE" w:rsidP="00D274F8">
      <w:pPr>
        <w:pStyle w:val="Heading1"/>
        <w:jc w:val="both"/>
      </w:pPr>
      <w:r w:rsidRPr="00CC27F5">
        <w:t>2</w:t>
      </w:r>
      <w:r w:rsidRPr="00CC27F5">
        <w:tab/>
      </w:r>
      <w:bookmarkStart w:id="2" w:name="p3"/>
      <w:bookmarkStart w:id="3" w:name="b"/>
      <w:r w:rsidR="00D274F8">
        <w:t>Performance Metrics</w:t>
      </w:r>
      <w:r w:rsidR="00F0219B">
        <w:t xml:space="preserve"> and Evaluation Scenarios </w:t>
      </w:r>
    </w:p>
    <w:p w14:paraId="7E446400" w14:textId="08D14424" w:rsidR="00B059AA" w:rsidRDefault="00722B12" w:rsidP="00B171DA">
      <w:pPr>
        <w:jc w:val="both"/>
        <w:rPr>
          <w:lang w:val="en-GB"/>
        </w:rPr>
      </w:pPr>
      <w:r>
        <w:rPr>
          <w:lang w:val="en-GB"/>
        </w:rPr>
        <w:t>As discussed in [1], the baseline</w:t>
      </w:r>
      <w:r w:rsidR="00033DE0">
        <w:rPr>
          <w:lang w:val="en-GB"/>
        </w:rPr>
        <w:t xml:space="preserve"> requirement for the LTE-URLLC </w:t>
      </w:r>
      <w:r>
        <w:rPr>
          <w:lang w:val="en-GB"/>
        </w:rPr>
        <w:t xml:space="preserve">can be set based on </w:t>
      </w:r>
      <w:r w:rsidR="00033DE0">
        <w:rPr>
          <w:lang w:val="en-GB"/>
        </w:rPr>
        <w:t xml:space="preserve">that </w:t>
      </w:r>
      <w:r>
        <w:rPr>
          <w:lang w:val="en-GB"/>
        </w:rPr>
        <w:t xml:space="preserve">of the NR-URLLC. In particular, the main objective should be to achieve the reliability of </w:t>
      </w:r>
      <w:r w:rsidRPr="00722B12">
        <w:rPr>
          <w:rFonts w:eastAsia="Malgun Gothic"/>
          <w:lang w:eastAsia="zh-CN"/>
        </w:rPr>
        <w:t>1-</w:t>
      </w:r>
      <w:r w:rsidRPr="00722B12">
        <w:rPr>
          <w:lang w:eastAsia="zh-CN"/>
        </w:rPr>
        <w:t>10</w:t>
      </w:r>
      <w:r w:rsidRPr="00722B12">
        <w:rPr>
          <w:vertAlign w:val="superscript"/>
          <w:lang w:eastAsia="zh-CN"/>
        </w:rPr>
        <w:t>-5</w:t>
      </w:r>
      <w:r w:rsidRPr="00722B12">
        <w:rPr>
          <w:rFonts w:eastAsia="Malgun Gothic"/>
          <w:lang w:eastAsia="zh-CN"/>
        </w:rPr>
        <w:t xml:space="preserve"> for </w:t>
      </w:r>
      <w:r>
        <w:rPr>
          <w:rFonts w:eastAsia="Malgun Gothic"/>
          <w:lang w:eastAsia="zh-CN"/>
        </w:rPr>
        <w:t xml:space="preserve">a packet of size </w:t>
      </w:r>
      <w:r w:rsidRPr="00722B12">
        <w:rPr>
          <w:lang w:eastAsia="zh-CN"/>
        </w:rPr>
        <w:t>32</w:t>
      </w:r>
      <w:r w:rsidRPr="00722B12">
        <w:rPr>
          <w:rFonts w:eastAsia="Malgun Gothic"/>
          <w:lang w:eastAsia="zh-CN"/>
        </w:rPr>
        <w:t xml:space="preserve"> bytes</w:t>
      </w:r>
      <w:r w:rsidRPr="00722B12">
        <w:rPr>
          <w:rFonts w:eastAsia="MS Mincho"/>
          <w:lang w:eastAsia="ja-JP"/>
        </w:rPr>
        <w:t xml:space="preserve"> with a user plane latency of</w:t>
      </w:r>
      <w:r w:rsidRPr="00722B12">
        <w:rPr>
          <w:rFonts w:eastAsia="Malgun Gothic"/>
          <w:lang w:eastAsia="zh-CN"/>
        </w:rPr>
        <w:t xml:space="preserve"> 1ms</w:t>
      </w:r>
      <w:r w:rsidR="00033DE0">
        <w:rPr>
          <w:rFonts w:eastAsia="Malgun Gothic"/>
          <w:lang w:eastAsia="zh-CN"/>
        </w:rPr>
        <w:t xml:space="preserve"> [2]</w:t>
      </w:r>
      <w:r>
        <w:rPr>
          <w:rFonts w:eastAsia="Malgun Gothic"/>
          <w:lang w:eastAsia="zh-CN"/>
        </w:rPr>
        <w:t>.</w:t>
      </w:r>
      <w:r w:rsidRPr="00722B12">
        <w:rPr>
          <w:lang w:val="en-GB"/>
        </w:rPr>
        <w:t xml:space="preserve"> </w:t>
      </w:r>
      <w:r>
        <w:rPr>
          <w:lang w:val="en-GB"/>
        </w:rPr>
        <w:t xml:space="preserve">Besides this set of requirements, based on the use cases of interest, additional set of (reliability, latency, packet sizes) can be identified, and considered for further evaluations. </w:t>
      </w:r>
      <w:r w:rsidR="00B171DA">
        <w:rPr>
          <w:lang w:val="en-GB"/>
        </w:rPr>
        <w:t xml:space="preserve">In </w:t>
      </w:r>
      <w:r w:rsidR="003656D5">
        <w:rPr>
          <w:lang w:val="en-GB"/>
        </w:rPr>
        <w:t xml:space="preserve">order to properly study the achievability of the identified requirements, both link-level and system-level evaluations are necessary. </w:t>
      </w:r>
    </w:p>
    <w:p w14:paraId="7B6BE22E" w14:textId="185DA9E4" w:rsidR="00CE02C1" w:rsidRDefault="00CE02C1" w:rsidP="00B059AA">
      <w:pPr>
        <w:jc w:val="both"/>
        <w:rPr>
          <w:lang w:val="en-GB"/>
        </w:rPr>
      </w:pPr>
      <w:r>
        <w:rPr>
          <w:lang w:val="en-GB"/>
        </w:rPr>
        <w:t xml:space="preserve">For setting the evaluation framework, let us consider the following two examples for </w:t>
      </w:r>
      <w:r w:rsidR="00841FBF">
        <w:rPr>
          <w:lang w:val="en-GB"/>
        </w:rPr>
        <w:t xml:space="preserve">the DL in </w:t>
      </w:r>
      <w:r>
        <w:rPr>
          <w:lang w:val="en-GB"/>
        </w:rPr>
        <w:t xml:space="preserve">a system with a given TTI length, processing timeline and a service with a given reliability, packet size and delay budget: (1) The objective is to achieve the probability of success via a single transmission, and (2) </w:t>
      </w:r>
      <w:r w:rsidR="00A15B7A">
        <w:rPr>
          <w:lang w:val="en-GB"/>
        </w:rPr>
        <w:t xml:space="preserve">The objective is to achieve </w:t>
      </w:r>
      <w:r w:rsidR="006414DA">
        <w:rPr>
          <w:lang w:val="en-GB"/>
        </w:rPr>
        <w:t>the probability of success via at most two</w:t>
      </w:r>
      <w:r w:rsidR="00A15B7A">
        <w:rPr>
          <w:lang w:val="en-GB"/>
        </w:rPr>
        <w:t xml:space="preserve"> transmissions, while meeting the delay budget. </w:t>
      </w:r>
      <w:r w:rsidR="00841FBF">
        <w:rPr>
          <w:lang w:val="en-GB"/>
        </w:rPr>
        <w:t>For these two scenarios, the probability of success is given as follows, respectively:</w:t>
      </w:r>
    </w:p>
    <w:p w14:paraId="55FFE271" w14:textId="1942BDCA" w:rsidR="00841FBF" w:rsidRPr="00841FBF" w:rsidRDefault="00CB5147" w:rsidP="00B059AA">
      <w:pPr>
        <w:jc w:val="both"/>
        <w:rPr>
          <w:iCs/>
        </w:rPr>
      </w:pPr>
      <m:oMathPara>
        <m:oMath>
          <m:sSub>
            <m:sSubPr>
              <m:ctrlPr>
                <w:rPr>
                  <w:rFonts w:ascii="Cambria Math" w:hAnsi="Cambria Math"/>
                  <w:i/>
                  <w:iCs/>
                </w:rPr>
              </m:ctrlPr>
            </m:sSubPr>
            <m:e>
              <m:r>
                <w:rPr>
                  <w:rFonts w:ascii="Cambria Math" w:hAnsi="Cambria Math"/>
                </w:rPr>
                <m:t>P</m:t>
              </m:r>
            </m:e>
            <m:sub>
              <m:r>
                <w:rPr>
                  <w:rFonts w:ascii="Cambria Math" w:hAnsi="Cambria Math"/>
                </w:rPr>
                <m:t>success</m:t>
              </m:r>
            </m:sub>
          </m:sSub>
          <m:r>
            <w:rPr>
              <w:rFonts w:ascii="Cambria Math" w:hAnsi="Cambria Math"/>
            </w:rPr>
            <m:t>=</m:t>
          </m:r>
          <m:sSub>
            <m:sSubPr>
              <m:ctrlPr>
                <w:rPr>
                  <w:rFonts w:ascii="Cambria Math" w:hAnsi="Cambria Math"/>
                  <w:i/>
                  <w:iCs/>
                </w:rPr>
              </m:ctrlPr>
            </m:sSubPr>
            <m:e>
              <m:r>
                <w:rPr>
                  <w:rFonts w:ascii="Cambria Math" w:hAnsi="Cambria Math"/>
                </w:rPr>
                <m:t>P</m:t>
              </m:r>
            </m:e>
            <m:sub>
              <m:r>
                <w:rPr>
                  <w:rFonts w:ascii="Cambria Math" w:hAnsi="Cambria Math"/>
                </w:rPr>
                <m:t>C,T</m:t>
              </m:r>
              <m:sSub>
                <m:sSubPr>
                  <m:ctrlPr>
                    <w:rPr>
                      <w:rFonts w:ascii="Cambria Math" w:hAnsi="Cambria Math"/>
                      <w:i/>
                      <w:iCs/>
                    </w:rPr>
                  </m:ctrlPr>
                </m:sSubPr>
                <m:e>
                  <m:r>
                    <w:rPr>
                      <w:rFonts w:ascii="Cambria Math" w:hAnsi="Cambria Math"/>
                    </w:rPr>
                    <m:t>X</m:t>
                  </m:r>
                </m:e>
                <m:sub>
                  <m:r>
                    <w:rPr>
                      <w:rFonts w:ascii="Cambria Math" w:hAnsi="Cambria Math"/>
                    </w:rPr>
                    <m:t>1</m:t>
                  </m:r>
                </m:sub>
              </m:sSub>
            </m:sub>
          </m:sSub>
          <m:sSub>
            <m:sSubPr>
              <m:ctrlPr>
                <w:rPr>
                  <w:rFonts w:ascii="Cambria Math" w:hAnsi="Cambria Math"/>
                  <w:i/>
                  <w:iCs/>
                </w:rPr>
              </m:ctrlPr>
            </m:sSubPr>
            <m:e>
              <m:r>
                <w:rPr>
                  <w:rFonts w:ascii="Cambria Math" w:hAnsi="Cambria Math"/>
                </w:rPr>
                <m:t>P</m:t>
              </m:r>
            </m:e>
            <m:sub>
              <m:r>
                <w:rPr>
                  <w:rFonts w:ascii="Cambria Math" w:hAnsi="Cambria Math"/>
                </w:rPr>
                <m:t>D,T</m:t>
              </m:r>
              <m:sSub>
                <m:sSubPr>
                  <m:ctrlPr>
                    <w:rPr>
                      <w:rFonts w:ascii="Cambria Math" w:hAnsi="Cambria Math"/>
                      <w:i/>
                      <w:iCs/>
                    </w:rPr>
                  </m:ctrlPr>
                </m:sSubPr>
                <m:e>
                  <m:r>
                    <w:rPr>
                      <w:rFonts w:ascii="Cambria Math" w:hAnsi="Cambria Math"/>
                    </w:rPr>
                    <m:t>X</m:t>
                  </m:r>
                </m:e>
                <m:sub>
                  <m:r>
                    <w:rPr>
                      <w:rFonts w:ascii="Cambria Math" w:hAnsi="Cambria Math"/>
                    </w:rPr>
                    <m:t>1</m:t>
                  </m:r>
                </m:sub>
              </m:sSub>
            </m:sub>
          </m:sSub>
          <m:r>
            <w:rPr>
              <w:rFonts w:ascii="Cambria Math" w:hAnsi="Cambria Math"/>
            </w:rPr>
            <m:t xml:space="preserve"> (1)</m:t>
          </m:r>
        </m:oMath>
      </m:oMathPara>
    </w:p>
    <w:p w14:paraId="4AC8BD37" w14:textId="501E68A9" w:rsidR="00841FBF" w:rsidRPr="00841FBF" w:rsidRDefault="00CB5147" w:rsidP="00841FBF">
      <w:pPr>
        <w:pStyle w:val="ListParagraph"/>
        <w:jc w:val="both"/>
        <w:rPr>
          <w:sz w:val="20"/>
          <w:szCs w:val="20"/>
        </w:rPr>
      </w:pPr>
      <m:oMathPara>
        <m:oMathParaPr>
          <m:jc m:val="center"/>
        </m:oMathParaP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success</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r>
            <w:rPr>
              <w:rFonts w:ascii="Cambria Math" w:hAnsi="Cambria Math"/>
              <w:sz w:val="20"/>
              <w:szCs w:val="20"/>
            </w:rPr>
            <m:t>+</m:t>
          </m:r>
          <m:d>
            <m:dPr>
              <m:ctrlPr>
                <w:rPr>
                  <w:rFonts w:ascii="Cambria Math" w:hAnsi="Cambria Math"/>
                  <w:i/>
                  <w:iCs/>
                  <w:sz w:val="20"/>
                  <w:szCs w:val="20"/>
                </w:rPr>
              </m:ctrlPr>
            </m:dPr>
            <m:e>
              <m:r>
                <w:rPr>
                  <w:rFonts w:ascii="Cambria Math" w:hAnsi="Cambria Math"/>
                  <w:sz w:val="20"/>
                  <w:szCs w:val="20"/>
                </w:rPr>
                <m:t>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e>
          </m:d>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DTX</m:t>
              </m:r>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 </m:t>
              </m:r>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d>
            <m:dPr>
              <m:ctrlPr>
                <w:rPr>
                  <w:rFonts w:ascii="Cambria Math" w:hAnsi="Cambria Math"/>
                  <w:i/>
                  <w:iCs/>
                  <w:sz w:val="20"/>
                  <w:szCs w:val="20"/>
                </w:rPr>
              </m:ctrlPr>
            </m:dPr>
            <m:e>
              <m:r>
                <w:rPr>
                  <w:rFonts w:ascii="Cambria Math" w:hAnsi="Cambria Math"/>
                  <w:sz w:val="20"/>
                  <w:szCs w:val="20"/>
                </w:rPr>
                <m:t>1 -</m:t>
              </m:r>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e>
          </m:d>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NAK</m:t>
              </m:r>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sub>
          </m:sSub>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2</m:t>
                  </m:r>
                </m:sub>
              </m:sSub>
            </m:sub>
          </m:sSub>
          <m:r>
            <w:rPr>
              <w:rFonts w:ascii="Cambria Math" w:hAnsi="Cambria Math"/>
              <w:sz w:val="20"/>
              <w:szCs w:val="20"/>
            </w:rPr>
            <m:t xml:space="preserve"> (2)</m:t>
          </m:r>
        </m:oMath>
      </m:oMathPara>
    </w:p>
    <w:p w14:paraId="3077B32B" w14:textId="45362D17" w:rsidR="00841FBF" w:rsidRDefault="00841FBF" w:rsidP="00B059AA">
      <w:pPr>
        <w:jc w:val="both"/>
        <w:rPr>
          <w:lang w:val="en-GB"/>
        </w:rPr>
      </w:pPr>
    </w:p>
    <w:p w14:paraId="5E4AC8B5" w14:textId="190E5509" w:rsidR="00841FBF" w:rsidRDefault="00841FBF" w:rsidP="00841FBF">
      <w:pPr>
        <w:jc w:val="both"/>
        <w:rPr>
          <w:lang w:val="en-GB"/>
        </w:rPr>
      </w:pPr>
      <w:r>
        <w:rPr>
          <w:lang w:val="en-GB"/>
        </w:rPr>
        <w:t xml:space="preserve">where  </w:t>
      </w:r>
    </w:p>
    <w:p w14:paraId="12A9A530" w14:textId="742658F2" w:rsidR="00841FBF" w:rsidRPr="00841FBF" w:rsidRDefault="00CB5147" w:rsidP="00841FBF">
      <w:pPr>
        <w:jc w:val="both"/>
      </w:pPr>
      <m:oMath>
        <m:sSub>
          <m:sSubPr>
            <m:ctrlPr>
              <w:rPr>
                <w:rFonts w:ascii="Cambria Math" w:hAnsi="Cambria Math"/>
                <w:i/>
              </w:rPr>
            </m:ctrlPr>
          </m:sSubPr>
          <m:e>
            <m:r>
              <w:rPr>
                <w:rFonts w:ascii="Cambria Math" w:hAnsi="Cambria Math"/>
              </w:rPr>
              <m:t>P</m:t>
            </m:r>
          </m:e>
          <m:sub>
            <m:r>
              <w:rPr>
                <w:rFonts w:ascii="Cambria Math" w:hAnsi="Cambria Math"/>
              </w:rPr>
              <m:t>C,T</m:t>
            </m:r>
            <m:sSub>
              <m:sSubPr>
                <m:ctrlPr>
                  <w:rPr>
                    <w:rFonts w:ascii="Cambria Math" w:hAnsi="Cambria Math"/>
                    <w:i/>
                  </w:rPr>
                </m:ctrlPr>
              </m:sSubPr>
              <m:e>
                <m:r>
                  <w:rPr>
                    <w:rFonts w:ascii="Cambria Math" w:hAnsi="Cambria Math"/>
                  </w:rPr>
                  <m:t>X</m:t>
                </m:r>
              </m:e>
              <m:sub>
                <m:r>
                  <w:rPr>
                    <w:rFonts w:ascii="Cambria Math" w:hAnsi="Cambria Math"/>
                  </w:rPr>
                  <m:t>i</m:t>
                </m:r>
              </m:sub>
            </m:sSub>
          </m:sub>
        </m:sSub>
      </m:oMath>
      <w:r w:rsidR="00841FBF" w:rsidRPr="00841FBF">
        <w:t xml:space="preserve">: The probability of successfully decoding the ith sPDCCH </w:t>
      </w:r>
    </w:p>
    <w:p w14:paraId="1132CF3F" w14:textId="3CD4F99B" w:rsidR="00841FBF" w:rsidRPr="00841FBF" w:rsidRDefault="00CB5147" w:rsidP="00841FBF">
      <w:pPr>
        <w:jc w:val="both"/>
      </w:pPr>
      <m:oMath>
        <m:sSub>
          <m:sSubPr>
            <m:ctrlPr>
              <w:rPr>
                <w:rFonts w:ascii="Cambria Math" w:hAnsi="Cambria Math"/>
                <w:i/>
              </w:rPr>
            </m:ctrlPr>
          </m:sSubPr>
          <m:e>
            <m:r>
              <w:rPr>
                <w:rFonts w:ascii="Cambria Math" w:hAnsi="Cambria Math"/>
              </w:rPr>
              <m:t>P</m:t>
            </m:r>
          </m:e>
          <m:sub>
            <m:r>
              <w:rPr>
                <w:rFonts w:ascii="Cambria Math" w:hAnsi="Cambria Math"/>
              </w:rPr>
              <m:t>D,T</m:t>
            </m:r>
            <m:sSub>
              <m:sSubPr>
                <m:ctrlPr>
                  <w:rPr>
                    <w:rFonts w:ascii="Cambria Math" w:hAnsi="Cambria Math"/>
                    <w:i/>
                  </w:rPr>
                </m:ctrlPr>
              </m:sSubPr>
              <m:e>
                <m:r>
                  <w:rPr>
                    <w:rFonts w:ascii="Cambria Math" w:hAnsi="Cambria Math"/>
                  </w:rPr>
                  <m:t>X</m:t>
                </m:r>
              </m:e>
              <m:sub>
                <m:r>
                  <w:rPr>
                    <w:rFonts w:ascii="Cambria Math" w:hAnsi="Cambria Math"/>
                  </w:rPr>
                  <m:t>i</m:t>
                </m:r>
              </m:sub>
            </m:sSub>
          </m:sub>
        </m:sSub>
      </m:oMath>
      <w:r w:rsidR="00841FBF" w:rsidRPr="00841FBF">
        <w:t xml:space="preserve">: The probability of successfully decoding the ith sPDSCH </w:t>
      </w:r>
    </w:p>
    <w:p w14:paraId="65456F30" w14:textId="2AF5F966" w:rsidR="00841FBF" w:rsidRPr="00841FBF" w:rsidRDefault="00CB5147" w:rsidP="00841FBF">
      <w:pPr>
        <w:jc w:val="both"/>
      </w:pPr>
      <m:oMath>
        <m:sSub>
          <m:sSubPr>
            <m:ctrlPr>
              <w:rPr>
                <w:rFonts w:ascii="Cambria Math" w:hAnsi="Cambria Math"/>
                <w:i/>
              </w:rPr>
            </m:ctrlPr>
          </m:sSubPr>
          <m:e>
            <m:r>
              <w:rPr>
                <w:rFonts w:ascii="Cambria Math" w:hAnsi="Cambria Math"/>
              </w:rPr>
              <m:t>P</m:t>
            </m:r>
          </m:e>
          <m:sub>
            <m:r>
              <w:rPr>
                <w:rFonts w:ascii="Cambria Math" w:hAnsi="Cambria Math"/>
              </w:rPr>
              <m:t>NAK</m:t>
            </m:r>
          </m:sub>
        </m:sSub>
      </m:oMath>
      <w:r w:rsidR="00841FBF" w:rsidRPr="00841FBF">
        <w:t>: The probability of successful NAK reception at the eNB</w:t>
      </w:r>
    </w:p>
    <w:p w14:paraId="7AEDC926" w14:textId="77777777" w:rsidR="00841FBF" w:rsidRDefault="00CB5147" w:rsidP="00841FBF">
      <w:pPr>
        <w:jc w:val="both"/>
      </w:pPr>
      <m:oMath>
        <m:sSub>
          <m:sSubPr>
            <m:ctrlPr>
              <w:rPr>
                <w:rFonts w:ascii="Cambria Math" w:hAnsi="Cambria Math"/>
                <w:i/>
              </w:rPr>
            </m:ctrlPr>
          </m:sSubPr>
          <m:e>
            <m:r>
              <w:rPr>
                <w:rFonts w:ascii="Cambria Math" w:hAnsi="Cambria Math"/>
              </w:rPr>
              <m:t>P</m:t>
            </m:r>
          </m:e>
          <m:sub>
            <m:r>
              <w:rPr>
                <w:rFonts w:ascii="Cambria Math" w:hAnsi="Cambria Math"/>
              </w:rPr>
              <m:t>DTX</m:t>
            </m:r>
          </m:sub>
        </m:sSub>
      </m:oMath>
      <w:r w:rsidR="00841FBF" w:rsidRPr="00841FBF">
        <w:t>: The probability of successful DTX detection at the eNB (assuming the 1</w:t>
      </w:r>
      <w:r w:rsidR="00841FBF" w:rsidRPr="00841FBF">
        <w:rPr>
          <w:vertAlign w:val="superscript"/>
        </w:rPr>
        <w:t>st</w:t>
      </w:r>
      <w:r w:rsidR="00841FBF" w:rsidRPr="00841FBF">
        <w:t xml:space="preserve"> control is not detected)</w:t>
      </w:r>
      <w:r w:rsidR="00841FBF">
        <w:t>.</w:t>
      </w:r>
    </w:p>
    <w:p w14:paraId="62090451" w14:textId="77777777" w:rsidR="00841FBF" w:rsidRDefault="00841FBF" w:rsidP="00841FBF">
      <w:pPr>
        <w:jc w:val="both"/>
      </w:pPr>
      <w:r>
        <w:t>From the above set of equations, the following conclusions can be drawn:</w:t>
      </w:r>
    </w:p>
    <w:p w14:paraId="60EC1952" w14:textId="798EA794" w:rsidR="00841FBF" w:rsidRPr="006414DA" w:rsidRDefault="00841FBF" w:rsidP="006414DA">
      <w:pPr>
        <w:pStyle w:val="ListParagraph"/>
        <w:numPr>
          <w:ilvl w:val="0"/>
          <w:numId w:val="41"/>
        </w:numPr>
        <w:jc w:val="both"/>
        <w:rPr>
          <w:sz w:val="20"/>
          <w:szCs w:val="20"/>
        </w:rPr>
      </w:pPr>
      <w:r w:rsidRPr="006414DA">
        <w:rPr>
          <w:sz w:val="20"/>
          <w:szCs w:val="20"/>
        </w:rPr>
        <w:t>To study the achievability of the requirements from the link-level perspective, the block error rate of different DL (PDSCH and PDCCH) and UL (SR, PUCCH and PUSCH) channels should be studied.</w:t>
      </w:r>
    </w:p>
    <w:p w14:paraId="517E1291" w14:textId="25098B60" w:rsidR="006414DA" w:rsidRPr="00ED7CC2" w:rsidRDefault="00841FBF" w:rsidP="00033631">
      <w:pPr>
        <w:pStyle w:val="ListParagraph"/>
        <w:numPr>
          <w:ilvl w:val="0"/>
          <w:numId w:val="41"/>
        </w:numPr>
        <w:jc w:val="both"/>
        <w:rPr>
          <w:iCs/>
        </w:rPr>
      </w:pPr>
      <w:r w:rsidRPr="006414DA">
        <w:rPr>
          <w:sz w:val="20"/>
          <w:szCs w:val="20"/>
        </w:rPr>
        <w:t xml:space="preserve">In order to achieve the </w:t>
      </w:r>
      <m:oMath>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success</m:t>
            </m:r>
          </m:sub>
        </m:sSub>
      </m:oMath>
      <w:r w:rsidRPr="006414DA">
        <w:rPr>
          <w:sz w:val="20"/>
          <w:szCs w:val="20"/>
        </w:rPr>
        <w:t xml:space="preserve"> in the first example, both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C,T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oMath>
      <w:r w:rsidRPr="00ED7CC2">
        <w:rPr>
          <w:iCs/>
          <w:sz w:val="20"/>
          <w:szCs w:val="20"/>
        </w:rPr>
        <w:t xml:space="preserve"> and </w:t>
      </w:r>
      <m:oMath>
        <m:sSub>
          <m:sSubPr>
            <m:ctrlPr>
              <w:rPr>
                <w:rFonts w:ascii="Cambria Math" w:hAnsi="Cambria Math"/>
                <w:i/>
                <w:iCs/>
                <w:sz w:val="20"/>
                <w:szCs w:val="20"/>
              </w:rPr>
            </m:ctrlPr>
          </m:sSubPr>
          <m:e>
            <m:r>
              <w:rPr>
                <w:rFonts w:ascii="Cambria Math" w:hAnsi="Cambria Math"/>
                <w:sz w:val="20"/>
                <w:szCs w:val="20"/>
              </w:rPr>
              <m:t>P</m:t>
            </m:r>
          </m:e>
          <m:sub>
            <m:r>
              <w:rPr>
                <w:rFonts w:ascii="Cambria Math" w:hAnsi="Cambria Math"/>
                <w:sz w:val="20"/>
                <w:szCs w:val="20"/>
              </w:rPr>
              <m:t>D,T</m:t>
            </m:r>
            <m:sSub>
              <m:sSubPr>
                <m:ctrlPr>
                  <w:rPr>
                    <w:rFonts w:ascii="Cambria Math" w:hAnsi="Cambria Math"/>
                    <w:i/>
                    <w:iCs/>
                    <w:sz w:val="20"/>
                    <w:szCs w:val="20"/>
                  </w:rPr>
                </m:ctrlPr>
              </m:sSubPr>
              <m:e>
                <m:r>
                  <w:rPr>
                    <w:rFonts w:ascii="Cambria Math" w:hAnsi="Cambria Math"/>
                    <w:sz w:val="20"/>
                    <w:szCs w:val="20"/>
                  </w:rPr>
                  <m:t>X</m:t>
                </m:r>
              </m:e>
              <m:sub>
                <m:r>
                  <w:rPr>
                    <w:rFonts w:ascii="Cambria Math" w:hAnsi="Cambria Math"/>
                    <w:sz w:val="20"/>
                    <w:szCs w:val="20"/>
                  </w:rPr>
                  <m:t>1</m:t>
                </m:r>
              </m:sub>
            </m:sSub>
          </m:sub>
        </m:sSub>
      </m:oMath>
      <w:r w:rsidRPr="00ED7CC2">
        <w:rPr>
          <w:iCs/>
          <w:sz w:val="20"/>
          <w:szCs w:val="20"/>
        </w:rPr>
        <w:t xml:space="preserve">should be set at much </w:t>
      </w:r>
      <w:r w:rsidR="00B171DA">
        <w:rPr>
          <w:iCs/>
          <w:sz w:val="20"/>
          <w:szCs w:val="20"/>
        </w:rPr>
        <w:t>more conservative</w:t>
      </w:r>
      <w:r w:rsidRPr="00ED7CC2">
        <w:rPr>
          <w:iCs/>
          <w:sz w:val="20"/>
          <w:szCs w:val="20"/>
        </w:rPr>
        <w:t xml:space="preserve"> </w:t>
      </w:r>
      <w:r w:rsidR="00B171DA">
        <w:rPr>
          <w:iCs/>
          <w:sz w:val="20"/>
          <w:szCs w:val="20"/>
        </w:rPr>
        <w:t>levels</w:t>
      </w:r>
      <w:r w:rsidRPr="00ED7CC2">
        <w:rPr>
          <w:iCs/>
          <w:sz w:val="20"/>
          <w:szCs w:val="20"/>
        </w:rPr>
        <w:t xml:space="preserve"> as compared to the second example. </w:t>
      </w:r>
      <w:r w:rsidR="006414DA" w:rsidRPr="00ED7CC2">
        <w:rPr>
          <w:iCs/>
          <w:sz w:val="20"/>
          <w:szCs w:val="20"/>
        </w:rPr>
        <w:t xml:space="preserve">This, in turn, </w:t>
      </w:r>
      <w:r w:rsidR="00B171DA">
        <w:rPr>
          <w:iCs/>
          <w:sz w:val="20"/>
          <w:szCs w:val="20"/>
        </w:rPr>
        <w:t>leads to</w:t>
      </w:r>
      <w:r w:rsidR="006414DA" w:rsidRPr="00ED7CC2">
        <w:rPr>
          <w:iCs/>
          <w:sz w:val="20"/>
          <w:szCs w:val="20"/>
        </w:rPr>
        <w:t xml:space="preserve"> serving a smaller number of users. </w:t>
      </w:r>
      <w:r w:rsidR="000E340A" w:rsidRPr="00ED7CC2">
        <w:rPr>
          <w:iCs/>
          <w:sz w:val="20"/>
          <w:szCs w:val="20"/>
        </w:rPr>
        <w:t xml:space="preserve">Assuming that the TTI length and the processing timeline are selected such that the latency budget can be met under both scenarios, then, intuitively, the second approach which allows for HARQ re-transmissions is more preferred from </w:t>
      </w:r>
      <w:r w:rsidR="006414DA" w:rsidRPr="00ED7CC2">
        <w:rPr>
          <w:iCs/>
          <w:sz w:val="20"/>
          <w:szCs w:val="20"/>
        </w:rPr>
        <w:t>the</w:t>
      </w:r>
      <w:r w:rsidR="000E340A" w:rsidRPr="00ED7CC2">
        <w:rPr>
          <w:iCs/>
          <w:sz w:val="20"/>
          <w:szCs w:val="20"/>
        </w:rPr>
        <w:t xml:space="preserve"> system-level perspectives.</w:t>
      </w:r>
      <w:r w:rsidR="006414DA" w:rsidRPr="00ED7CC2">
        <w:rPr>
          <w:iCs/>
          <w:sz w:val="20"/>
          <w:szCs w:val="20"/>
        </w:rPr>
        <w:t xml:space="preserve"> </w:t>
      </w:r>
      <w:r w:rsidR="00B171DA">
        <w:rPr>
          <w:iCs/>
          <w:sz w:val="20"/>
          <w:szCs w:val="20"/>
        </w:rPr>
        <w:t xml:space="preserve">In particular, the second approach is likely to achieve </w:t>
      </w:r>
      <w:r w:rsidR="00F10555">
        <w:rPr>
          <w:iCs/>
          <w:sz w:val="20"/>
          <w:szCs w:val="20"/>
        </w:rPr>
        <w:t xml:space="preserve">a </w:t>
      </w:r>
      <w:r w:rsidR="00B171DA">
        <w:rPr>
          <w:iCs/>
          <w:sz w:val="20"/>
          <w:szCs w:val="20"/>
        </w:rPr>
        <w:t xml:space="preserve">higher network capacity. </w:t>
      </w:r>
      <w:r w:rsidR="00ED7CC2" w:rsidRPr="00ED7CC2">
        <w:rPr>
          <w:iCs/>
          <w:sz w:val="20"/>
          <w:szCs w:val="20"/>
        </w:rPr>
        <w:t xml:space="preserve">To design a system that can benefit from the </w:t>
      </w:r>
      <w:r w:rsidR="006414DA" w:rsidRPr="00ED7CC2">
        <w:rPr>
          <w:iCs/>
          <w:sz w:val="20"/>
          <w:szCs w:val="20"/>
        </w:rPr>
        <w:t>HARQ re-transmissions</w:t>
      </w:r>
      <w:r w:rsidR="00ED7CC2" w:rsidRPr="00ED7CC2">
        <w:rPr>
          <w:iCs/>
          <w:sz w:val="20"/>
          <w:szCs w:val="20"/>
        </w:rPr>
        <w:t xml:space="preserve"> to meet the requirements, it is</w:t>
      </w:r>
      <w:r w:rsidR="00B171DA">
        <w:rPr>
          <w:iCs/>
          <w:sz w:val="20"/>
          <w:szCs w:val="20"/>
        </w:rPr>
        <w:t xml:space="preserve"> therefore important </w:t>
      </w:r>
      <w:r w:rsidR="006414DA" w:rsidRPr="00ED7CC2">
        <w:rPr>
          <w:iCs/>
          <w:sz w:val="20"/>
          <w:szCs w:val="20"/>
        </w:rPr>
        <w:t>to study th</w:t>
      </w:r>
      <w:r w:rsidR="00B171DA">
        <w:rPr>
          <w:iCs/>
          <w:sz w:val="20"/>
          <w:szCs w:val="20"/>
        </w:rPr>
        <w:t>e residual BLER after each (re)</w:t>
      </w:r>
      <w:r w:rsidR="006414DA" w:rsidRPr="00ED7CC2">
        <w:rPr>
          <w:iCs/>
          <w:sz w:val="20"/>
          <w:szCs w:val="20"/>
        </w:rPr>
        <w:t>transmission.</w:t>
      </w:r>
      <w:r w:rsidR="00ED7CC2" w:rsidRPr="00ED7CC2">
        <w:rPr>
          <w:iCs/>
          <w:sz w:val="20"/>
          <w:szCs w:val="20"/>
        </w:rPr>
        <w:t xml:space="preserve"> </w:t>
      </w:r>
    </w:p>
    <w:p w14:paraId="5ACD5A34" w14:textId="77777777" w:rsidR="006414DA" w:rsidRDefault="006414DA" w:rsidP="006414DA">
      <w:pPr>
        <w:jc w:val="both"/>
        <w:rPr>
          <w:iCs/>
        </w:rPr>
      </w:pPr>
    </w:p>
    <w:p w14:paraId="738385FF" w14:textId="77777777" w:rsidR="00ED7CC2" w:rsidRDefault="00ED7CC2" w:rsidP="006414DA">
      <w:pPr>
        <w:jc w:val="both"/>
        <w:rPr>
          <w:b/>
          <w:bCs/>
          <w:iCs/>
        </w:rPr>
      </w:pPr>
    </w:p>
    <w:p w14:paraId="3F2E5A7B" w14:textId="1B06EB74" w:rsidR="006414DA" w:rsidRPr="00BD737D" w:rsidRDefault="006414DA" w:rsidP="006414DA">
      <w:pPr>
        <w:jc w:val="both"/>
        <w:rPr>
          <w:b/>
          <w:bCs/>
          <w:iCs/>
        </w:rPr>
      </w:pPr>
      <w:r w:rsidRPr="00BD737D">
        <w:rPr>
          <w:b/>
          <w:bCs/>
          <w:iCs/>
        </w:rPr>
        <w:t xml:space="preserve">Proposal 1: </w:t>
      </w:r>
      <w:r w:rsidR="00BE1D46">
        <w:rPr>
          <w:b/>
          <w:bCs/>
          <w:iCs/>
        </w:rPr>
        <w:t xml:space="preserve">For a given set of (reliability, latency, packet size) requirement, </w:t>
      </w:r>
      <w:r w:rsidRPr="00BD737D">
        <w:rPr>
          <w:b/>
          <w:bCs/>
          <w:iCs/>
        </w:rPr>
        <w:t xml:space="preserve">the </w:t>
      </w:r>
      <w:r w:rsidR="00BE1D46">
        <w:rPr>
          <w:b/>
          <w:bCs/>
          <w:iCs/>
        </w:rPr>
        <w:t>block error rate</w:t>
      </w:r>
      <w:r w:rsidRPr="00BD737D">
        <w:rPr>
          <w:b/>
          <w:bCs/>
          <w:iCs/>
        </w:rPr>
        <w:t xml:space="preserve"> of PDCCH, PDSCH, SR, PUCCH and PUSCH </w:t>
      </w:r>
      <w:r w:rsidR="00B12262" w:rsidRPr="00BD737D">
        <w:rPr>
          <w:b/>
          <w:bCs/>
          <w:iCs/>
        </w:rPr>
        <w:t>can separately be evaluated.</w:t>
      </w:r>
    </w:p>
    <w:p w14:paraId="084EE68D" w14:textId="0FC2158B" w:rsidR="00EF4960" w:rsidRDefault="006414DA" w:rsidP="006414DA">
      <w:pPr>
        <w:jc w:val="both"/>
        <w:rPr>
          <w:b/>
          <w:bCs/>
          <w:iCs/>
        </w:rPr>
      </w:pPr>
      <w:r w:rsidRPr="00BD737D">
        <w:rPr>
          <w:b/>
          <w:bCs/>
          <w:iCs/>
        </w:rPr>
        <w:t>Proposal 2:</w:t>
      </w:r>
      <w:r w:rsidR="00B12262" w:rsidRPr="00BD737D">
        <w:rPr>
          <w:b/>
          <w:bCs/>
          <w:iCs/>
        </w:rPr>
        <w:t xml:space="preserve"> </w:t>
      </w:r>
      <w:r w:rsidR="00BE1D46">
        <w:rPr>
          <w:b/>
          <w:bCs/>
          <w:iCs/>
        </w:rPr>
        <w:t xml:space="preserve">For a given set of (reliability, latency, packet size) requirement, the impact of HARQ retransmissions on the </w:t>
      </w:r>
      <w:r w:rsidR="009A571B">
        <w:rPr>
          <w:b/>
          <w:bCs/>
          <w:iCs/>
        </w:rPr>
        <w:t>residual</w:t>
      </w:r>
      <w:r w:rsidR="00BE1D46">
        <w:rPr>
          <w:b/>
          <w:bCs/>
          <w:iCs/>
        </w:rPr>
        <w:t xml:space="preserve"> BLER of PDSCH and PUSCH</w:t>
      </w:r>
      <w:r w:rsidR="009A571B">
        <w:rPr>
          <w:b/>
          <w:bCs/>
          <w:iCs/>
        </w:rPr>
        <w:t xml:space="preserve"> </w:t>
      </w:r>
      <w:r w:rsidR="00446FFB">
        <w:rPr>
          <w:b/>
          <w:bCs/>
          <w:iCs/>
        </w:rPr>
        <w:t xml:space="preserve">should </w:t>
      </w:r>
      <w:r w:rsidR="00EF4960">
        <w:rPr>
          <w:b/>
          <w:bCs/>
          <w:iCs/>
        </w:rPr>
        <w:t>be evaluated.</w:t>
      </w:r>
    </w:p>
    <w:p w14:paraId="33C77355" w14:textId="63E2FCEF" w:rsidR="00841FBF" w:rsidRDefault="00EF4960" w:rsidP="006414DA">
      <w:pPr>
        <w:jc w:val="both"/>
        <w:rPr>
          <w:b/>
          <w:bCs/>
          <w:iCs/>
        </w:rPr>
      </w:pPr>
      <w:r>
        <w:rPr>
          <w:b/>
          <w:bCs/>
          <w:iCs/>
        </w:rPr>
        <w:t xml:space="preserve">Proposal 3: For a given set of (reliability, latency, packet size) requirement, the impact of HARQ retransmissions of the system capacity in both DL and UL </w:t>
      </w:r>
      <w:r w:rsidR="00446FFB">
        <w:rPr>
          <w:b/>
          <w:bCs/>
          <w:iCs/>
        </w:rPr>
        <w:t xml:space="preserve">should </w:t>
      </w:r>
      <w:r>
        <w:rPr>
          <w:b/>
          <w:bCs/>
          <w:iCs/>
        </w:rPr>
        <w:t>be evaluated.</w:t>
      </w:r>
      <w:r w:rsidR="00BE1D46">
        <w:rPr>
          <w:b/>
          <w:bCs/>
          <w:iCs/>
        </w:rPr>
        <w:t xml:space="preserve"> </w:t>
      </w:r>
      <w:r w:rsidR="006414DA" w:rsidRPr="00BD737D">
        <w:rPr>
          <w:b/>
          <w:bCs/>
          <w:iCs/>
        </w:rPr>
        <w:t xml:space="preserve"> </w:t>
      </w:r>
      <w:r w:rsidR="000E340A" w:rsidRPr="00BD737D">
        <w:rPr>
          <w:b/>
          <w:bCs/>
          <w:iCs/>
        </w:rPr>
        <w:t xml:space="preserve"> </w:t>
      </w:r>
    </w:p>
    <w:p w14:paraId="44F47923" w14:textId="7567DDD8" w:rsidR="00EF4960" w:rsidRDefault="00EF4960" w:rsidP="006414DA">
      <w:pPr>
        <w:jc w:val="both"/>
        <w:rPr>
          <w:iCs/>
        </w:rPr>
      </w:pPr>
      <w:r w:rsidRPr="00EF4960">
        <w:rPr>
          <w:iCs/>
        </w:rPr>
        <w:t xml:space="preserve">In a network that supports different services, it is essential to understand how users with different TTI lengths and requirements, e.g., legacy LTE users vs. LTE-URLLC users, </w:t>
      </w:r>
      <w:r>
        <w:rPr>
          <w:iCs/>
        </w:rPr>
        <w:t xml:space="preserve">should be multiplexed in DL and UL. Specifically, </w:t>
      </w:r>
      <w:r w:rsidR="00C54E06">
        <w:rPr>
          <w:iCs/>
        </w:rPr>
        <w:t>one important question that arises in this context is whether pre-allocating a portion of the bandwidth for LTE-URLLC users is more beneficial than dynamic multiplexing with pre-emption indication or not.</w:t>
      </w:r>
    </w:p>
    <w:p w14:paraId="1531A791" w14:textId="4AA07D50" w:rsidR="00B10276" w:rsidRDefault="00C54E06" w:rsidP="00BD674B">
      <w:pPr>
        <w:jc w:val="both"/>
      </w:pPr>
      <w:r w:rsidRPr="00B64736">
        <w:rPr>
          <w:b/>
          <w:bCs/>
          <w:iCs/>
        </w:rPr>
        <w:t xml:space="preserve">Proposal 4: </w:t>
      </w:r>
      <w:r w:rsidR="00B64736">
        <w:rPr>
          <w:b/>
          <w:bCs/>
          <w:iCs/>
        </w:rPr>
        <w:t>System capacity under the dynamic and</w:t>
      </w:r>
      <w:r w:rsidRPr="00B64736">
        <w:rPr>
          <w:b/>
          <w:bCs/>
          <w:iCs/>
        </w:rPr>
        <w:t xml:space="preserve"> static multiplexing of LTE-URLLC users and legacy LTE/sTTI users </w:t>
      </w:r>
      <w:r w:rsidR="00446FFB">
        <w:rPr>
          <w:b/>
          <w:bCs/>
          <w:iCs/>
        </w:rPr>
        <w:t xml:space="preserve">should </w:t>
      </w:r>
      <w:r w:rsidR="00B64736">
        <w:rPr>
          <w:b/>
          <w:bCs/>
          <w:iCs/>
        </w:rPr>
        <w:t>be evaluated.</w:t>
      </w:r>
      <w:r w:rsidR="00722E33" w:rsidRPr="00BD674B">
        <w:t xml:space="preserve"> </w:t>
      </w:r>
      <w:bookmarkEnd w:id="2"/>
      <w:bookmarkEnd w:id="3"/>
    </w:p>
    <w:p w14:paraId="0D4AB2E1" w14:textId="77E09CFB" w:rsidR="00000C15" w:rsidRPr="00000C15" w:rsidRDefault="00000C15" w:rsidP="00000C15">
      <w:pPr>
        <w:jc w:val="both"/>
        <w:rPr>
          <w:szCs w:val="16"/>
        </w:rPr>
      </w:pPr>
      <w:r>
        <w:t xml:space="preserve">Figure 1 shows that the </w:t>
      </w:r>
      <w:r w:rsidRPr="00000C15">
        <w:rPr>
          <w:szCs w:val="16"/>
        </w:rPr>
        <w:t>capacity increases super</w:t>
      </w:r>
      <w:r>
        <w:rPr>
          <w:szCs w:val="16"/>
        </w:rPr>
        <w:t>-</w:t>
      </w:r>
      <w:r w:rsidRPr="00000C15">
        <w:rPr>
          <w:szCs w:val="16"/>
        </w:rPr>
        <w:t xml:space="preserve">linearly as the bandwidth </w:t>
      </w:r>
      <w:r>
        <w:rPr>
          <w:szCs w:val="16"/>
        </w:rPr>
        <w:t xml:space="preserve">allocated to URLLC </w:t>
      </w:r>
      <w:r w:rsidRPr="00000C15">
        <w:rPr>
          <w:szCs w:val="16"/>
        </w:rPr>
        <w:t>increase</w:t>
      </w:r>
      <w:r>
        <w:rPr>
          <w:szCs w:val="16"/>
        </w:rPr>
        <w:t>s</w:t>
      </w:r>
      <w:r w:rsidRPr="00000C15">
        <w:rPr>
          <w:szCs w:val="16"/>
        </w:rPr>
        <w:t xml:space="preserve">. It is </w:t>
      </w:r>
      <w:r>
        <w:rPr>
          <w:szCs w:val="16"/>
        </w:rPr>
        <w:t xml:space="preserve">therefore </w:t>
      </w:r>
      <w:r w:rsidRPr="00000C15">
        <w:rPr>
          <w:szCs w:val="16"/>
        </w:rPr>
        <w:t>more beneficial to allocate w</w:t>
      </w:r>
      <w:r>
        <w:rPr>
          <w:szCs w:val="16"/>
        </w:rPr>
        <w:t>ide bandwidth to URLLC services to yield</w:t>
      </w:r>
      <w:r w:rsidRPr="00000C15">
        <w:rPr>
          <w:szCs w:val="16"/>
        </w:rPr>
        <w:t xml:space="preserve"> better spectral efficiency</w:t>
      </w:r>
      <w:r>
        <w:rPr>
          <w:szCs w:val="16"/>
        </w:rPr>
        <w:t>. (Simulation details are given in [3].)</w:t>
      </w:r>
    </w:p>
    <w:p w14:paraId="6270D2E0" w14:textId="303431F2" w:rsidR="00000C15" w:rsidRDefault="00000C15" w:rsidP="00BD674B">
      <w:pPr>
        <w:jc w:val="both"/>
      </w:pPr>
    </w:p>
    <w:p w14:paraId="454B971C" w14:textId="5C869EFB" w:rsidR="00000C15" w:rsidRDefault="00000C15" w:rsidP="00000C15">
      <w:pPr>
        <w:jc w:val="center"/>
      </w:pPr>
      <w:r>
        <w:rPr>
          <w:noProof/>
          <w:lang w:eastAsia="zh-TW"/>
        </w:rPr>
        <w:drawing>
          <wp:inline distT="0" distB="0" distL="0" distR="0" wp14:anchorId="783E3E12" wp14:editId="500F300E">
            <wp:extent cx="4865298" cy="2751827"/>
            <wp:effectExtent l="0" t="0" r="12065" b="1079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BF31C8D" w14:textId="152AF58A" w:rsidR="00000C15" w:rsidRPr="00CE758D" w:rsidRDefault="00000C15" w:rsidP="00000C15">
      <w:pPr>
        <w:pStyle w:val="Caption"/>
      </w:pPr>
      <w:r>
        <w:t>Figure 1</w:t>
      </w:r>
      <w:r w:rsidRPr="00CE758D">
        <w:t>: The URLLC system capacity under different reserved bandwidth and hard latency requirements. The reliability requirement is 1e-5.</w:t>
      </w:r>
    </w:p>
    <w:p w14:paraId="0EA2F1EF" w14:textId="3B2DB943" w:rsidR="00000C15" w:rsidRDefault="00000C15" w:rsidP="00000C15">
      <w:pPr>
        <w:jc w:val="both"/>
        <w:rPr>
          <w:b/>
          <w:bCs/>
          <w:szCs w:val="16"/>
        </w:rPr>
      </w:pPr>
      <w:r w:rsidRPr="00000C15">
        <w:rPr>
          <w:b/>
          <w:bCs/>
        </w:rPr>
        <w:t>Observation 1:</w:t>
      </w:r>
      <w:r>
        <w:t xml:space="preserve"> </w:t>
      </w:r>
      <w:r w:rsidRPr="00000C15">
        <w:rPr>
          <w:b/>
          <w:bCs/>
          <w:szCs w:val="16"/>
        </w:rPr>
        <w:t>URLLC capacity increases super</w:t>
      </w:r>
      <w:r>
        <w:rPr>
          <w:b/>
          <w:bCs/>
          <w:szCs w:val="16"/>
        </w:rPr>
        <w:t>-</w:t>
      </w:r>
      <w:r w:rsidRPr="00000C15">
        <w:rPr>
          <w:b/>
          <w:bCs/>
          <w:szCs w:val="16"/>
        </w:rPr>
        <w:t>linearly as the bandwidth increase</w:t>
      </w:r>
      <w:r>
        <w:rPr>
          <w:b/>
          <w:bCs/>
          <w:szCs w:val="16"/>
        </w:rPr>
        <w:t>s</w:t>
      </w:r>
      <w:r w:rsidRPr="00000C15">
        <w:rPr>
          <w:b/>
          <w:bCs/>
          <w:szCs w:val="16"/>
        </w:rPr>
        <w:t>. It is more beneficial to allocate wide bandwidth to URLLC services, yielding better spectral efficiency</w:t>
      </w:r>
      <w:r>
        <w:rPr>
          <w:b/>
          <w:bCs/>
          <w:szCs w:val="16"/>
        </w:rPr>
        <w:t>.</w:t>
      </w:r>
    </w:p>
    <w:p w14:paraId="64291AAD" w14:textId="3F67AE61" w:rsidR="005E2C31" w:rsidRPr="005E2C31" w:rsidRDefault="005E2C31" w:rsidP="00000C15">
      <w:pPr>
        <w:jc w:val="both"/>
        <w:rPr>
          <w:szCs w:val="16"/>
        </w:rPr>
      </w:pPr>
      <w:r w:rsidRPr="005E2C31">
        <w:rPr>
          <w:szCs w:val="16"/>
        </w:rPr>
        <w:t>Once a large bandwidth is allocated to URLLC, some resources assigned to legacy LTE services should be punctured. As shown in [4], dynamic puncturing indication can significantly enhance the performance of the 1ms LTE services.</w:t>
      </w:r>
    </w:p>
    <w:p w14:paraId="5D084D06" w14:textId="1E19E684" w:rsidR="00000C15" w:rsidRPr="00000C15" w:rsidRDefault="00BB1611" w:rsidP="00BB1611">
      <w:pPr>
        <w:jc w:val="both"/>
        <w:rPr>
          <w:b/>
          <w:bCs/>
          <w:szCs w:val="16"/>
        </w:rPr>
      </w:pPr>
      <w:r>
        <w:rPr>
          <w:b/>
          <w:bCs/>
          <w:szCs w:val="16"/>
        </w:rPr>
        <w:t>Observation 2: When a large bandwidth is assigned to URLLC, the dynamic puncturing indication can enhance the performance of legacy LTE users.</w:t>
      </w:r>
    </w:p>
    <w:p w14:paraId="23E99592" w14:textId="77777777" w:rsidR="00F0219B" w:rsidRDefault="00F0219B" w:rsidP="00F0219B">
      <w:pPr>
        <w:jc w:val="both"/>
      </w:pPr>
      <w:r>
        <w:t>For a given reliability and packet size, the achievable latency can be defined as follows for the DL and UL, respectively:</w:t>
      </w:r>
    </w:p>
    <w:p w14:paraId="531BC2ED" w14:textId="77777777" w:rsidR="00F0219B" w:rsidRDefault="00F0219B" w:rsidP="00F0219B">
      <w:pPr>
        <w:pStyle w:val="ListParagraph"/>
        <w:numPr>
          <w:ilvl w:val="0"/>
          <w:numId w:val="42"/>
        </w:numPr>
        <w:jc w:val="both"/>
        <w:rPr>
          <w:sz w:val="20"/>
          <w:szCs w:val="20"/>
          <w:lang w:val="en-GB"/>
        </w:rPr>
      </w:pPr>
      <w:r>
        <w:rPr>
          <w:sz w:val="20"/>
          <w:szCs w:val="20"/>
          <w:lang w:val="en-GB"/>
        </w:rPr>
        <w:t>Latency in DL is defined as the duration of the time between the start of the PDSCH transmission and the successful decoding of the TB at a UE.</w:t>
      </w:r>
    </w:p>
    <w:p w14:paraId="6B11E379" w14:textId="77777777" w:rsidR="00F0219B" w:rsidRDefault="00F0219B" w:rsidP="00F0219B">
      <w:pPr>
        <w:pStyle w:val="ListParagraph"/>
        <w:numPr>
          <w:ilvl w:val="0"/>
          <w:numId w:val="42"/>
        </w:numPr>
        <w:jc w:val="both"/>
        <w:rPr>
          <w:sz w:val="20"/>
          <w:szCs w:val="20"/>
          <w:lang w:val="en-GB"/>
        </w:rPr>
      </w:pPr>
      <w:r>
        <w:rPr>
          <w:sz w:val="20"/>
          <w:szCs w:val="20"/>
          <w:lang w:val="en-GB"/>
        </w:rPr>
        <w:t>To define latency in the UL direction, two cases can be considered: (a) UL resources are available, and (2) UL resources should be requested.</w:t>
      </w:r>
    </w:p>
    <w:p w14:paraId="28508FF2" w14:textId="77777777" w:rsidR="00F0219B" w:rsidRDefault="00F0219B" w:rsidP="00F0219B">
      <w:pPr>
        <w:pStyle w:val="ListParagraph"/>
        <w:numPr>
          <w:ilvl w:val="1"/>
          <w:numId w:val="42"/>
        </w:numPr>
        <w:jc w:val="both"/>
        <w:rPr>
          <w:sz w:val="20"/>
          <w:szCs w:val="20"/>
          <w:lang w:val="en-GB"/>
        </w:rPr>
      </w:pPr>
      <w:r>
        <w:rPr>
          <w:sz w:val="20"/>
          <w:szCs w:val="20"/>
          <w:lang w:val="en-GB"/>
        </w:rPr>
        <w:t>For the former case, latency can be defined as the duration of the time between the start of the PUSCH transmission and the successful decoding of the TB at the eNB.</w:t>
      </w:r>
    </w:p>
    <w:p w14:paraId="35AEFB79" w14:textId="77777777" w:rsidR="00F0219B" w:rsidRDefault="00F0219B" w:rsidP="00F0219B">
      <w:pPr>
        <w:pStyle w:val="ListParagraph"/>
        <w:numPr>
          <w:ilvl w:val="1"/>
          <w:numId w:val="42"/>
        </w:numPr>
        <w:jc w:val="both"/>
        <w:rPr>
          <w:sz w:val="20"/>
          <w:szCs w:val="20"/>
          <w:lang w:val="en-GB"/>
        </w:rPr>
      </w:pPr>
      <w:r>
        <w:rPr>
          <w:sz w:val="20"/>
          <w:szCs w:val="20"/>
          <w:lang w:val="en-GB"/>
        </w:rPr>
        <w:lastRenderedPageBreak/>
        <w:t>For the latter case, latency can be defined as the duration of the time between the first SR transmission attempt and the successful decoding of the TB at the eNB.</w:t>
      </w:r>
    </w:p>
    <w:p w14:paraId="5260BD76" w14:textId="65DB1196" w:rsidR="00F0219B" w:rsidRDefault="00F0219B" w:rsidP="00BD674B">
      <w:pPr>
        <w:jc w:val="both"/>
        <w:rPr>
          <w:b/>
          <w:bCs/>
        </w:rPr>
      </w:pPr>
    </w:p>
    <w:p w14:paraId="67B9E8BD" w14:textId="1B00AFC0" w:rsidR="00A51C6E" w:rsidRPr="00F0219B" w:rsidRDefault="00F0219B" w:rsidP="00F0219B">
      <w:pPr>
        <w:jc w:val="both"/>
      </w:pPr>
      <w:r w:rsidRPr="00F0219B">
        <w:t xml:space="preserve">The evaluation framework described in this section can be utilized to characterize the set of achievable (reliability, latency, packet size) requirements. </w:t>
      </w:r>
      <w:r>
        <w:t>However, c</w:t>
      </w:r>
      <w:r w:rsidR="00FA172A">
        <w:rPr>
          <w:iCs/>
        </w:rPr>
        <w:t xml:space="preserve">learly, if relying on HARQ </w:t>
      </w:r>
      <w:r w:rsidR="00DD4546">
        <w:rPr>
          <w:iCs/>
        </w:rPr>
        <w:t>re</w:t>
      </w:r>
      <w:r w:rsidR="00FA172A">
        <w:rPr>
          <w:iCs/>
        </w:rPr>
        <w:t xml:space="preserve">transmissions prove to be beneficial in terms of the system capacity to achieve the URLLC requirements, </w:t>
      </w:r>
      <w:r w:rsidR="00F44D2F">
        <w:rPr>
          <w:iCs/>
        </w:rPr>
        <w:t>then even two transmissions within the latency budget of 1ms cannot be accommodated via the TTI lengths and processing timelines that are under discussion in sTTI/sPT WI.</w:t>
      </w:r>
      <w:r w:rsidR="00FA172A">
        <w:rPr>
          <w:iCs/>
        </w:rPr>
        <w:t xml:space="preserve"> </w:t>
      </w:r>
      <w:r w:rsidR="00DD4546">
        <w:rPr>
          <w:iCs/>
        </w:rPr>
        <w:t xml:space="preserve">An example is illustrated in Figure 1 under the assumption that a 2-symbol sTTI with n+4 timing </w:t>
      </w:r>
      <w:r w:rsidR="00A51C6E">
        <w:rPr>
          <w:iCs/>
        </w:rPr>
        <w:t xml:space="preserve">and assuming that DL decoding takes 2 sTTIs at the user. </w:t>
      </w:r>
      <w:r w:rsidR="00A51C6E">
        <w:rPr>
          <w:rFonts w:eastAsia="Times New Roman"/>
        </w:rPr>
        <w:t xml:space="preserve">As shown in Figure 1, under the 2-symbol sTTI with </w:t>
      </w:r>
      <m:oMath>
        <m:r>
          <w:rPr>
            <w:rFonts w:ascii="Cambria Math" w:eastAsia="Times New Roman" w:hAnsi="Cambria Math"/>
          </w:rPr>
          <m:t>n+4</m:t>
        </m:r>
      </m:oMath>
      <w:r w:rsidR="00A51C6E">
        <w:rPr>
          <w:rFonts w:eastAsia="Times New Roman"/>
        </w:rPr>
        <w:t xml:space="preserve"> processing timeline, the over-the-air latency is above 1ms. Since 1-symbol sTTI was originally considered during the SI phase of the sTTI/sPT WI, it is likely to be a preferable candidate for LTE-URLLC. Assuming 1-symbol sTTI with n+4 timeline, then as shown in Figure 1, the latency is about 10 sTTIs ~0.7ms &lt; 1ms.</w:t>
      </w:r>
    </w:p>
    <w:p w14:paraId="0FF43FA2" w14:textId="56E76FD9" w:rsidR="00A51C6E" w:rsidRPr="00BD080A" w:rsidRDefault="00A51C6E" w:rsidP="00A51C6E">
      <w:pPr>
        <w:jc w:val="both"/>
        <w:rPr>
          <w:b/>
          <w:bCs/>
        </w:rPr>
      </w:pPr>
      <w:r w:rsidRPr="00EC2FC4">
        <w:rPr>
          <w:rFonts w:eastAsia="Times New Roman"/>
          <w:b/>
          <w:bCs/>
        </w:rPr>
        <w:t xml:space="preserve">Proposal </w:t>
      </w:r>
      <w:r>
        <w:rPr>
          <w:rFonts w:eastAsia="Times New Roman"/>
          <w:b/>
          <w:bCs/>
        </w:rPr>
        <w:t>5</w:t>
      </w:r>
      <w:r w:rsidRPr="00EC2FC4">
        <w:rPr>
          <w:rFonts w:eastAsia="Times New Roman"/>
          <w:b/>
          <w:bCs/>
        </w:rPr>
        <w:t xml:space="preserve">: The </w:t>
      </w:r>
      <w:r>
        <w:rPr>
          <w:rFonts w:eastAsia="Times New Roman"/>
          <w:b/>
          <w:bCs/>
        </w:rPr>
        <w:t>1-symbol sTTI can be supported in LTE-URLLC for applications with stringent latency requirements.</w:t>
      </w:r>
    </w:p>
    <w:p w14:paraId="0873D7DB" w14:textId="3C2AA4E6" w:rsidR="00A51C6E" w:rsidRDefault="009A6B64" w:rsidP="00A51C6E">
      <w:pPr>
        <w:jc w:val="both"/>
        <w:rPr>
          <w:iCs/>
        </w:rPr>
      </w:pPr>
      <w:r>
        <w:rPr>
          <w:iCs/>
        </w:rPr>
        <w:t>It is also worth noting that to meet the</w:t>
      </w:r>
      <w:r w:rsidR="00801692">
        <w:rPr>
          <w:iCs/>
        </w:rPr>
        <w:t xml:space="preserve"> identified requirements, especially the</w:t>
      </w:r>
      <w:r>
        <w:rPr>
          <w:iCs/>
        </w:rPr>
        <w:t xml:space="preserve"> stringent requirement</w:t>
      </w:r>
      <w:r w:rsidR="00801692">
        <w:rPr>
          <w:iCs/>
        </w:rPr>
        <w:t>s</w:t>
      </w:r>
      <w:r>
        <w:rPr>
          <w:iCs/>
        </w:rPr>
        <w:t xml:space="preserve"> defined for NR-URLLC, </w:t>
      </w:r>
      <w:r w:rsidR="00801692">
        <w:rPr>
          <w:iCs/>
        </w:rPr>
        <w:t>in addition to adopting</w:t>
      </w:r>
      <w:r>
        <w:rPr>
          <w:iCs/>
        </w:rPr>
        <w:t xml:space="preserve"> </w:t>
      </w:r>
      <w:r w:rsidR="00801692">
        <w:rPr>
          <w:iCs/>
        </w:rPr>
        <w:t xml:space="preserve">a </w:t>
      </w:r>
      <w:r>
        <w:rPr>
          <w:iCs/>
        </w:rPr>
        <w:t>1-symbol sTTI</w:t>
      </w:r>
      <w:r w:rsidR="00801692">
        <w:rPr>
          <w:iCs/>
        </w:rPr>
        <w:t>,</w:t>
      </w:r>
      <w:r>
        <w:rPr>
          <w:iCs/>
        </w:rPr>
        <w:t xml:space="preserve"> further enhancements for different channels might be essential.</w:t>
      </w:r>
      <w:r w:rsidR="00801692">
        <w:rPr>
          <w:iCs/>
        </w:rPr>
        <w:t xml:space="preserve"> </w:t>
      </w:r>
      <w:r>
        <w:rPr>
          <w:iCs/>
        </w:rPr>
        <w:t xml:space="preserve"> </w:t>
      </w:r>
    </w:p>
    <w:p w14:paraId="7AB672B0" w14:textId="272DBE67" w:rsidR="00F0219B" w:rsidRPr="00A51C6E" w:rsidRDefault="00F0219B" w:rsidP="00A51C6E">
      <w:pPr>
        <w:jc w:val="both"/>
        <w:rPr>
          <w:iCs/>
        </w:rPr>
      </w:pPr>
    </w:p>
    <w:p w14:paraId="4A7D9413" w14:textId="26C529E7" w:rsidR="00A51C6E" w:rsidRDefault="00A51C6E" w:rsidP="00A51C6E">
      <w:pPr>
        <w:jc w:val="both"/>
      </w:pPr>
      <w:r>
        <w:object w:dxaOrig="12746" w:dyaOrig="6545" w14:anchorId="2CE751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204pt" o:ole="">
            <v:imagedata r:id="rId14" o:title=""/>
          </v:shape>
          <o:OLEObject Type="Embed" ProgID="Visio.Drawing.11" ShapeID="_x0000_i1025" DrawAspect="Content" ObjectID="_1568219404" r:id="rId15"/>
        </w:object>
      </w:r>
    </w:p>
    <w:p w14:paraId="453F6DDF" w14:textId="4E62599A" w:rsidR="00F0219B" w:rsidRPr="00F0219B" w:rsidRDefault="00A51C6E" w:rsidP="00F0219B">
      <w:pPr>
        <w:pStyle w:val="Caption"/>
      </w:pPr>
      <w:r>
        <w:t xml:space="preserve">Figure 1: </w:t>
      </w:r>
      <w:r w:rsidRPr="002E284D">
        <w:t xml:space="preserve">The DL latency assuming that the reliability requirement can be achieved with the maximum of two transmissions under the 2-symbol sTTI operation and </w:t>
      </w:r>
      <m:oMath>
        <m:r>
          <m:rPr>
            <m:sty m:val="bi"/>
          </m:rPr>
          <w:rPr>
            <w:rFonts w:ascii="Cambria Math" w:hAnsi="Cambria Math"/>
          </w:rPr>
          <m:t>n+4</m:t>
        </m:r>
      </m:oMath>
      <w:r w:rsidRPr="002E284D">
        <w:t xml:space="preserve"> processing timeline.</w:t>
      </w:r>
    </w:p>
    <w:p w14:paraId="70FA50CB" w14:textId="15EF9663" w:rsidR="003162B5" w:rsidRDefault="00F0219B" w:rsidP="003162B5">
      <w:pPr>
        <w:pStyle w:val="Heading1"/>
        <w:jc w:val="both"/>
      </w:pPr>
      <w:r>
        <w:t>3</w:t>
      </w:r>
      <w:r w:rsidR="003162B5" w:rsidRPr="00E05A22">
        <w:tab/>
      </w:r>
      <w:r w:rsidR="00DB4896">
        <w:t>Conclusions</w:t>
      </w:r>
      <w:r w:rsidR="003162B5" w:rsidRPr="00E05A22">
        <w:t xml:space="preserve"> </w:t>
      </w:r>
    </w:p>
    <w:p w14:paraId="23690917" w14:textId="71C67D28" w:rsidR="00AC1720" w:rsidRPr="00361B2A" w:rsidRDefault="00361B2A" w:rsidP="00361B2A">
      <w:r>
        <w:rPr>
          <w:lang w:val="en-GB"/>
        </w:rPr>
        <w:t>In this paper, we proposed the performance metrics to be considered for the evaluation of the LTE-URLLC, and discussed some evaluation scenarios. The following proposals and observations are presented</w:t>
      </w:r>
      <w:r w:rsidR="00AC1720">
        <w:rPr>
          <w:lang w:val="en-GB"/>
        </w:rPr>
        <w:t>:</w:t>
      </w:r>
    </w:p>
    <w:p w14:paraId="47C56856" w14:textId="77777777" w:rsidR="00EF4960" w:rsidRPr="00361B2A" w:rsidRDefault="00EF4960" w:rsidP="00361B2A">
      <w:pPr>
        <w:pStyle w:val="ListParagraph"/>
        <w:numPr>
          <w:ilvl w:val="0"/>
          <w:numId w:val="43"/>
        </w:numPr>
        <w:jc w:val="both"/>
        <w:rPr>
          <w:b/>
          <w:iCs/>
          <w:sz w:val="20"/>
          <w:szCs w:val="20"/>
        </w:rPr>
      </w:pPr>
      <w:r w:rsidRPr="00361B2A">
        <w:rPr>
          <w:b/>
          <w:iCs/>
          <w:sz w:val="20"/>
          <w:szCs w:val="20"/>
        </w:rPr>
        <w:t>Proposal 1: For a given set of (reliability, latency, packet size) requirement, the block error rate of PDCCH, PDSCH, SR, PUCCH and PUSCH can separately be evaluated.</w:t>
      </w:r>
    </w:p>
    <w:p w14:paraId="7B4097F6" w14:textId="16B8BD9B" w:rsidR="00EF4960" w:rsidRPr="00361B2A" w:rsidRDefault="00EF4960" w:rsidP="00361B2A">
      <w:pPr>
        <w:pStyle w:val="ListParagraph"/>
        <w:numPr>
          <w:ilvl w:val="0"/>
          <w:numId w:val="43"/>
        </w:numPr>
        <w:jc w:val="both"/>
        <w:rPr>
          <w:b/>
          <w:iCs/>
          <w:sz w:val="20"/>
          <w:szCs w:val="20"/>
        </w:rPr>
      </w:pPr>
      <w:r w:rsidRPr="00361B2A">
        <w:rPr>
          <w:b/>
          <w:iCs/>
          <w:sz w:val="20"/>
          <w:szCs w:val="20"/>
        </w:rPr>
        <w:t xml:space="preserve">Proposal 2: For a given set of (reliability, latency, packet size) requirement, the impact of HARQ retransmissions on the residual BLER of PDSCH and PUSCH </w:t>
      </w:r>
      <w:r w:rsidR="00446FFB" w:rsidRPr="00361B2A">
        <w:rPr>
          <w:b/>
          <w:iCs/>
          <w:sz w:val="20"/>
          <w:szCs w:val="20"/>
        </w:rPr>
        <w:t xml:space="preserve">should </w:t>
      </w:r>
      <w:r w:rsidRPr="00361B2A">
        <w:rPr>
          <w:b/>
          <w:iCs/>
          <w:sz w:val="20"/>
          <w:szCs w:val="20"/>
        </w:rPr>
        <w:t>be evaluated.</w:t>
      </w:r>
    </w:p>
    <w:p w14:paraId="7812A7B5" w14:textId="0D417C15" w:rsidR="00EF4960" w:rsidRPr="00361B2A" w:rsidRDefault="00EF4960" w:rsidP="00361B2A">
      <w:pPr>
        <w:pStyle w:val="ListParagraph"/>
        <w:numPr>
          <w:ilvl w:val="0"/>
          <w:numId w:val="43"/>
        </w:numPr>
        <w:jc w:val="both"/>
        <w:rPr>
          <w:b/>
          <w:sz w:val="20"/>
          <w:szCs w:val="20"/>
        </w:rPr>
      </w:pPr>
      <w:r w:rsidRPr="00361B2A">
        <w:rPr>
          <w:b/>
          <w:iCs/>
          <w:sz w:val="20"/>
          <w:szCs w:val="20"/>
        </w:rPr>
        <w:t xml:space="preserve">Proposal 3: For a given set of (reliability, latency, packet size) requirement, the impact of HARQ retransmissions of the system capacity from the system-level perspective </w:t>
      </w:r>
      <w:r w:rsidR="00446FFB" w:rsidRPr="00361B2A">
        <w:rPr>
          <w:b/>
          <w:iCs/>
          <w:sz w:val="20"/>
          <w:szCs w:val="20"/>
        </w:rPr>
        <w:t xml:space="preserve">should </w:t>
      </w:r>
      <w:r w:rsidRPr="00361B2A">
        <w:rPr>
          <w:b/>
          <w:iCs/>
          <w:sz w:val="20"/>
          <w:szCs w:val="20"/>
        </w:rPr>
        <w:t xml:space="preserve">be evaluated.   </w:t>
      </w:r>
    </w:p>
    <w:p w14:paraId="4CAD37F3" w14:textId="0F3E5779" w:rsidR="00DB4896" w:rsidRPr="00361B2A" w:rsidRDefault="00B64736" w:rsidP="00361B2A">
      <w:pPr>
        <w:pStyle w:val="ListParagraph"/>
        <w:numPr>
          <w:ilvl w:val="0"/>
          <w:numId w:val="43"/>
        </w:numPr>
        <w:jc w:val="both"/>
        <w:rPr>
          <w:b/>
          <w:iCs/>
          <w:sz w:val="20"/>
          <w:szCs w:val="20"/>
        </w:rPr>
      </w:pPr>
      <w:r w:rsidRPr="00361B2A">
        <w:rPr>
          <w:b/>
          <w:iCs/>
          <w:sz w:val="20"/>
          <w:szCs w:val="20"/>
        </w:rPr>
        <w:t xml:space="preserve">Proposal 4: System capacity under the dynamic and static multiplexing of LTE-URLLC users and legacy LTE/sTTI users </w:t>
      </w:r>
      <w:r w:rsidR="00446FFB" w:rsidRPr="00361B2A">
        <w:rPr>
          <w:b/>
          <w:iCs/>
          <w:sz w:val="20"/>
          <w:szCs w:val="20"/>
        </w:rPr>
        <w:t xml:space="preserve">should </w:t>
      </w:r>
      <w:r w:rsidRPr="00361B2A">
        <w:rPr>
          <w:b/>
          <w:iCs/>
          <w:sz w:val="20"/>
          <w:szCs w:val="20"/>
        </w:rPr>
        <w:t>be evaluated.</w:t>
      </w:r>
    </w:p>
    <w:p w14:paraId="37E2FBA2" w14:textId="6A349A7D" w:rsidR="00000C15" w:rsidRDefault="00000C15" w:rsidP="00000C15">
      <w:pPr>
        <w:pStyle w:val="ListParagraph"/>
        <w:numPr>
          <w:ilvl w:val="0"/>
          <w:numId w:val="43"/>
        </w:numPr>
        <w:jc w:val="both"/>
        <w:rPr>
          <w:b/>
          <w:bCs/>
          <w:sz w:val="20"/>
          <w:szCs w:val="12"/>
        </w:rPr>
      </w:pPr>
      <w:r w:rsidRPr="00000C15">
        <w:rPr>
          <w:b/>
          <w:bCs/>
          <w:sz w:val="20"/>
          <w:szCs w:val="20"/>
        </w:rPr>
        <w:t>Observation 1:</w:t>
      </w:r>
      <w:r w:rsidRPr="00000C15">
        <w:rPr>
          <w:sz w:val="20"/>
          <w:szCs w:val="20"/>
        </w:rPr>
        <w:t xml:space="preserve"> </w:t>
      </w:r>
      <w:r w:rsidRPr="00000C15">
        <w:rPr>
          <w:b/>
          <w:bCs/>
          <w:sz w:val="20"/>
          <w:szCs w:val="12"/>
        </w:rPr>
        <w:t>URLLC capacity increases super-linearly as the bandwidth increases. It is more beneficial to allocate wide bandwidth to URLLC services, yielding better spectral efficiency.</w:t>
      </w:r>
    </w:p>
    <w:p w14:paraId="7F17A0B9" w14:textId="35972997" w:rsidR="00BB1611" w:rsidRPr="00BB1611" w:rsidRDefault="00BB1611" w:rsidP="00BB1611">
      <w:pPr>
        <w:pStyle w:val="ListParagraph"/>
        <w:numPr>
          <w:ilvl w:val="0"/>
          <w:numId w:val="43"/>
        </w:numPr>
        <w:jc w:val="both"/>
        <w:rPr>
          <w:b/>
          <w:bCs/>
          <w:sz w:val="20"/>
          <w:szCs w:val="12"/>
        </w:rPr>
      </w:pPr>
      <w:r w:rsidRPr="00BB1611">
        <w:rPr>
          <w:b/>
          <w:bCs/>
          <w:sz w:val="20"/>
          <w:szCs w:val="12"/>
        </w:rPr>
        <w:t>Observation 2: When a large bandwidth is assigned to URLLC, the dynamic puncturing indication can enhance the performance of legacy LTE users.</w:t>
      </w:r>
    </w:p>
    <w:p w14:paraId="32BC21F8" w14:textId="77721A5D" w:rsidR="00A51C6E" w:rsidRPr="00361B2A" w:rsidRDefault="00A51C6E" w:rsidP="00361B2A">
      <w:pPr>
        <w:pStyle w:val="ListParagraph"/>
        <w:numPr>
          <w:ilvl w:val="0"/>
          <w:numId w:val="43"/>
        </w:numPr>
        <w:jc w:val="both"/>
        <w:rPr>
          <w:b/>
          <w:sz w:val="20"/>
          <w:szCs w:val="20"/>
        </w:rPr>
      </w:pPr>
      <w:r w:rsidRPr="00361B2A">
        <w:rPr>
          <w:b/>
          <w:sz w:val="20"/>
          <w:szCs w:val="20"/>
        </w:rPr>
        <w:lastRenderedPageBreak/>
        <w:t>Proposal 5: The 1-symbol sTTI can be supported in LTE-URLLC for applications with stringent latency requirements.</w:t>
      </w:r>
    </w:p>
    <w:p w14:paraId="110997AB" w14:textId="4BB4451D" w:rsidR="00DB4896" w:rsidRPr="00DB4896" w:rsidRDefault="00F0219B" w:rsidP="00DB4896">
      <w:pPr>
        <w:pStyle w:val="Heading1"/>
        <w:jc w:val="both"/>
      </w:pPr>
      <w:r>
        <w:t>4</w:t>
      </w:r>
      <w:r w:rsidR="00DB4896" w:rsidRPr="00E05A22">
        <w:tab/>
      </w:r>
      <w:r w:rsidR="00DB4896">
        <w:t>References</w:t>
      </w:r>
      <w:r w:rsidR="00DB4896" w:rsidRPr="00E05A22">
        <w:t xml:space="preserve"> </w:t>
      </w:r>
    </w:p>
    <w:p w14:paraId="7677BC67" w14:textId="616119E3" w:rsidR="00DE4134" w:rsidRPr="00000C15" w:rsidRDefault="005E3F88" w:rsidP="00361B2A">
      <w:pPr>
        <w:rPr>
          <w:b/>
          <w:bCs/>
        </w:rPr>
      </w:pPr>
      <w:r w:rsidRPr="00000C15">
        <w:rPr>
          <w:b/>
          <w:bCs/>
        </w:rPr>
        <w:t xml:space="preserve">[1] </w:t>
      </w:r>
      <w:r w:rsidR="00C93941" w:rsidRPr="00000C15">
        <w:rPr>
          <w:b/>
          <w:bCs/>
        </w:rPr>
        <w:t>R1-</w:t>
      </w:r>
      <w:r w:rsidR="00AC1720" w:rsidRPr="00000C15">
        <w:rPr>
          <w:b/>
          <w:bCs/>
        </w:rPr>
        <w:t>1718161</w:t>
      </w:r>
      <w:r w:rsidR="00C93941" w:rsidRPr="00000C15">
        <w:rPr>
          <w:b/>
          <w:bCs/>
        </w:rPr>
        <w:t xml:space="preserve">, “Targeted reliability and latency requirements,” Qualcomm Inc. </w:t>
      </w:r>
    </w:p>
    <w:p w14:paraId="49A23703" w14:textId="54935990" w:rsidR="00000C15" w:rsidRDefault="00033DE0" w:rsidP="005E2C31">
      <w:pPr>
        <w:rPr>
          <w:b/>
          <w:bCs/>
        </w:rPr>
      </w:pPr>
      <w:r w:rsidRPr="00000C15">
        <w:rPr>
          <w:b/>
          <w:bCs/>
        </w:rPr>
        <w:t>[2] 3GPP TR 38.913, “3rd Generation Partnership Project; Technical Specification Group Radio Access Network; Study on Scenarios and Requirements for Next Generation Access Technologies; Release 14.</w:t>
      </w:r>
    </w:p>
    <w:p w14:paraId="6541369C" w14:textId="0D4B5EED" w:rsidR="00000C15" w:rsidRDefault="00000C15" w:rsidP="00000C15">
      <w:pPr>
        <w:ind w:left="1988" w:hanging="1988"/>
        <w:rPr>
          <w:rFonts w:ascii="Arial" w:hAnsi="Arial"/>
          <w:sz w:val="24"/>
          <w:szCs w:val="24"/>
        </w:rPr>
      </w:pPr>
      <w:r>
        <w:rPr>
          <w:b/>
          <w:bCs/>
        </w:rPr>
        <w:t xml:space="preserve">[3] </w:t>
      </w:r>
      <w:r w:rsidRPr="00000C15">
        <w:rPr>
          <w:b/>
        </w:rPr>
        <w:t>R1-166395</w:t>
      </w:r>
      <w:r>
        <w:rPr>
          <w:b/>
        </w:rPr>
        <w:t>, “</w:t>
      </w:r>
      <w:r w:rsidRPr="00000C15">
        <w:rPr>
          <w:b/>
          <w:bCs/>
        </w:rPr>
        <w:t>URLLC system capacity and URLLC/eMBB multiplexing efficiency analysis</w:t>
      </w:r>
      <w:r>
        <w:rPr>
          <w:b/>
          <w:bCs/>
        </w:rPr>
        <w:t>,” Qualcomm Inc.</w:t>
      </w:r>
    </w:p>
    <w:p w14:paraId="51E46F34" w14:textId="34A71B77" w:rsidR="00000C15" w:rsidRPr="005E2C31" w:rsidRDefault="005E2C31" w:rsidP="00361B2A">
      <w:pPr>
        <w:rPr>
          <w:b/>
          <w:bCs/>
        </w:rPr>
      </w:pPr>
      <w:r w:rsidRPr="005E2C31">
        <w:rPr>
          <w:b/>
          <w:bCs/>
        </w:rPr>
        <w:t xml:space="preserve">[4] </w:t>
      </w:r>
      <w:r w:rsidR="005D24A8" w:rsidRPr="005D24A8">
        <w:rPr>
          <w:b/>
          <w:bCs/>
        </w:rPr>
        <w:t>R1-1718117</w:t>
      </w:r>
      <w:bookmarkStart w:id="4" w:name="_GoBack"/>
      <w:bookmarkEnd w:id="4"/>
      <w:r w:rsidRPr="005E2C31">
        <w:rPr>
          <w:b/>
          <w:bCs/>
        </w:rPr>
        <w:t>, “Link evaluation of DL data transmission under symbol-dependent impact,” Qualcomm Inc.</w:t>
      </w:r>
    </w:p>
    <w:p w14:paraId="34308612" w14:textId="3A3E61A6" w:rsidR="00B10276" w:rsidRPr="00B10276" w:rsidRDefault="00B10276" w:rsidP="00B10276">
      <w:pPr>
        <w:jc w:val="both"/>
        <w:rPr>
          <w:b/>
          <w:lang w:val="en-GB"/>
        </w:rPr>
      </w:pPr>
    </w:p>
    <w:p w14:paraId="0117461B" w14:textId="3F040F9B" w:rsidR="00C77113" w:rsidRPr="00526653" w:rsidRDefault="00C77113" w:rsidP="00B10276">
      <w:pPr>
        <w:jc w:val="both"/>
        <w:rPr>
          <w:lang w:val="en-GB"/>
        </w:rPr>
      </w:pPr>
    </w:p>
    <w:sectPr w:rsidR="00C77113" w:rsidRPr="00526653" w:rsidSect="00E054B7">
      <w:headerReference w:type="even" r:id="rId16"/>
      <w:footerReference w:type="even" r:id="rId17"/>
      <w:footerReference w:type="default" r:id="rId1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700DA3" w14:textId="77777777" w:rsidR="00CB5147" w:rsidRDefault="00CB5147">
      <w:r>
        <w:separator/>
      </w:r>
    </w:p>
  </w:endnote>
  <w:endnote w:type="continuationSeparator" w:id="0">
    <w:p w14:paraId="17555AAB" w14:textId="77777777" w:rsidR="00CB5147" w:rsidRDefault="00CB5147">
      <w:r>
        <w:continuationSeparator/>
      </w:r>
    </w:p>
  </w:endnote>
  <w:endnote w:type="continuationNotice" w:id="1">
    <w:p w14:paraId="24FFA2EF" w14:textId="77777777" w:rsidR="00CB5147" w:rsidRDefault="00CB5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7EAB9415"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D24A8">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4A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A35E5" w14:textId="77777777" w:rsidR="00CB5147" w:rsidRDefault="00CB5147">
      <w:r>
        <w:separator/>
      </w:r>
    </w:p>
  </w:footnote>
  <w:footnote w:type="continuationSeparator" w:id="0">
    <w:p w14:paraId="717EF1D5" w14:textId="77777777" w:rsidR="00CB5147" w:rsidRDefault="00CB5147">
      <w:r>
        <w:continuationSeparator/>
      </w:r>
    </w:p>
  </w:footnote>
  <w:footnote w:type="continuationNotice" w:id="1">
    <w:p w14:paraId="47734EF2" w14:textId="77777777" w:rsidR="00CB5147" w:rsidRDefault="00CB5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F551C9"/>
    <w:multiLevelType w:val="hybridMultilevel"/>
    <w:tmpl w:val="7F78960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 w15:restartNumberingAfterBreak="0">
    <w:nsid w:val="144E298E"/>
    <w:multiLevelType w:val="hybridMultilevel"/>
    <w:tmpl w:val="E968BEF2"/>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1616D2"/>
    <w:multiLevelType w:val="hybridMultilevel"/>
    <w:tmpl w:val="318E6E32"/>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7"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4965C6"/>
    <w:multiLevelType w:val="hybridMultilevel"/>
    <w:tmpl w:val="7F70609C"/>
    <w:lvl w:ilvl="0" w:tplc="9B4EAD50">
      <w:start w:val="1"/>
      <w:numFmt w:val="bullet"/>
      <w:lvlText w:val=""/>
      <w:lvlJc w:val="left"/>
      <w:pPr>
        <w:ind w:left="720" w:hanging="360"/>
      </w:pPr>
      <w:rPr>
        <w:rFonts w:ascii="Symbol" w:hAnsi="Symbol" w:hint="default"/>
        <w:b w:val="0"/>
        <w:bCs w:val="0"/>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A5F99"/>
    <w:multiLevelType w:val="hybridMultilevel"/>
    <w:tmpl w:val="8DB626F4"/>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6F063CA"/>
    <w:multiLevelType w:val="hybridMultilevel"/>
    <w:tmpl w:val="FE5A61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B37CE"/>
    <w:multiLevelType w:val="hybridMultilevel"/>
    <w:tmpl w:val="F1E8F7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A752785"/>
    <w:multiLevelType w:val="hybridMultilevel"/>
    <w:tmpl w:val="9A4E19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E504C6"/>
    <w:multiLevelType w:val="hybridMultilevel"/>
    <w:tmpl w:val="7B224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B277C0"/>
    <w:multiLevelType w:val="hybridMultilevel"/>
    <w:tmpl w:val="814EF88A"/>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1" w15:restartNumberingAfterBreak="0">
    <w:nsid w:val="52596632"/>
    <w:multiLevelType w:val="hybridMultilevel"/>
    <w:tmpl w:val="BAA87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62032"/>
    <w:multiLevelType w:val="hybridMultilevel"/>
    <w:tmpl w:val="C85E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080F56"/>
    <w:multiLevelType w:val="hybridMultilevel"/>
    <w:tmpl w:val="713EF678"/>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BE0ACD"/>
    <w:multiLevelType w:val="hybridMultilevel"/>
    <w:tmpl w:val="7E1EE0C8"/>
    <w:lvl w:ilvl="0" w:tplc="ADE6EC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21219A"/>
    <w:multiLevelType w:val="hybridMultilevel"/>
    <w:tmpl w:val="6CDA3F26"/>
    <w:lvl w:ilvl="0" w:tplc="9B4EAD50">
      <w:start w:val="1"/>
      <w:numFmt w:val="bullet"/>
      <w:lvlText w:val=""/>
      <w:lvlJc w:val="left"/>
      <w:pPr>
        <w:ind w:left="720" w:hanging="360"/>
      </w:pPr>
      <w:rPr>
        <w:rFonts w:ascii="Symbol" w:hAnsi="Symbol" w:hint="default"/>
        <w:b w:val="0"/>
        <w:bCs w:val="0"/>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6377E9F"/>
    <w:multiLevelType w:val="hybridMultilevel"/>
    <w:tmpl w:val="418E6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
  </w:num>
  <w:num w:numId="5">
    <w:abstractNumId w:val="13"/>
  </w:num>
  <w:num w:numId="6">
    <w:abstractNumId w:val="38"/>
  </w:num>
  <w:num w:numId="7">
    <w:abstractNumId w:val="17"/>
  </w:num>
  <w:num w:numId="8">
    <w:abstractNumId w:val="18"/>
  </w:num>
  <w:num w:numId="9">
    <w:abstractNumId w:val="16"/>
  </w:num>
  <w:num w:numId="10">
    <w:abstractNumId w:val="33"/>
  </w:num>
  <w:num w:numId="11">
    <w:abstractNumId w:val="3"/>
  </w:num>
  <w:num w:numId="12">
    <w:abstractNumId w:val="14"/>
  </w:num>
  <w:num w:numId="13">
    <w:abstractNumId w:val="7"/>
  </w:num>
  <w:num w:numId="14">
    <w:abstractNumId w:val="9"/>
  </w:num>
  <w:num w:numId="15">
    <w:abstractNumId w:val="24"/>
  </w:num>
  <w:num w:numId="16">
    <w:abstractNumId w:val="29"/>
  </w:num>
  <w:num w:numId="17">
    <w:abstractNumId w:val="11"/>
  </w:num>
  <w:num w:numId="18">
    <w:abstractNumId w:val="40"/>
  </w:num>
  <w:num w:numId="19">
    <w:abstractNumId w:val="28"/>
  </w:num>
  <w:num w:numId="20">
    <w:abstractNumId w:val="32"/>
  </w:num>
  <w:num w:numId="21">
    <w:abstractNumId w:val="10"/>
  </w:num>
  <w:num w:numId="22">
    <w:abstractNumId w:val="37"/>
  </w:num>
  <w:num w:numId="23">
    <w:abstractNumId w:val="34"/>
  </w:num>
  <w:num w:numId="24">
    <w:abstractNumId w:val="19"/>
  </w:num>
  <w:num w:numId="25">
    <w:abstractNumId w:val="0"/>
  </w:num>
  <w:num w:numId="26">
    <w:abstractNumId w:val="23"/>
  </w:num>
  <w:num w:numId="27">
    <w:abstractNumId w:val="25"/>
  </w:num>
  <w:num w:numId="28">
    <w:abstractNumId w:val="31"/>
  </w:num>
  <w:num w:numId="29">
    <w:abstractNumId w:val="6"/>
  </w:num>
  <w:num w:numId="30">
    <w:abstractNumId w:val="30"/>
  </w:num>
  <w:num w:numId="31">
    <w:abstractNumId w:val="42"/>
  </w:num>
  <w:num w:numId="32">
    <w:abstractNumId w:val="4"/>
  </w:num>
  <w:num w:numId="33">
    <w:abstractNumId w:val="20"/>
  </w:num>
  <w:num w:numId="34">
    <w:abstractNumId w:val="8"/>
  </w:num>
  <w:num w:numId="35">
    <w:abstractNumId w:val="36"/>
  </w:num>
  <w:num w:numId="36">
    <w:abstractNumId w:val="5"/>
  </w:num>
  <w:num w:numId="37">
    <w:abstractNumId w:val="41"/>
  </w:num>
  <w:num w:numId="38">
    <w:abstractNumId w:val="12"/>
  </w:num>
  <w:num w:numId="39">
    <w:abstractNumId w:val="35"/>
  </w:num>
  <w:num w:numId="40">
    <w:abstractNumId w:val="39"/>
  </w:num>
  <w:num w:numId="41">
    <w:abstractNumId w:val="22"/>
  </w:num>
  <w:num w:numId="42">
    <w:abstractNumId w:val="26"/>
  </w:num>
  <w:num w:numId="43">
    <w:abstractNumId w:val="2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0C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5BCB"/>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3DE0"/>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4F89"/>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17D"/>
    <w:rsid w:val="000820C9"/>
    <w:rsid w:val="0008243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37B8"/>
    <w:rsid w:val="00094EF2"/>
    <w:rsid w:val="0009559C"/>
    <w:rsid w:val="0009709B"/>
    <w:rsid w:val="000A0D72"/>
    <w:rsid w:val="000A0E99"/>
    <w:rsid w:val="000A197C"/>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1BA"/>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40A"/>
    <w:rsid w:val="000E38F6"/>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4EAD"/>
    <w:rsid w:val="00105820"/>
    <w:rsid w:val="00105CEE"/>
    <w:rsid w:val="00105FC2"/>
    <w:rsid w:val="00106932"/>
    <w:rsid w:val="00106CC3"/>
    <w:rsid w:val="00106E7E"/>
    <w:rsid w:val="00107123"/>
    <w:rsid w:val="00107A94"/>
    <w:rsid w:val="00110030"/>
    <w:rsid w:val="00110086"/>
    <w:rsid w:val="0011051C"/>
    <w:rsid w:val="00110AE3"/>
    <w:rsid w:val="00111011"/>
    <w:rsid w:val="001115C0"/>
    <w:rsid w:val="00111AD9"/>
    <w:rsid w:val="00112B8F"/>
    <w:rsid w:val="00112CFB"/>
    <w:rsid w:val="00113495"/>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4"/>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D50"/>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9E0"/>
    <w:rsid w:val="00152BA8"/>
    <w:rsid w:val="001535D2"/>
    <w:rsid w:val="00153A6B"/>
    <w:rsid w:val="00153E38"/>
    <w:rsid w:val="001544AB"/>
    <w:rsid w:val="0015452C"/>
    <w:rsid w:val="00154BE2"/>
    <w:rsid w:val="00155732"/>
    <w:rsid w:val="00155E24"/>
    <w:rsid w:val="001560E4"/>
    <w:rsid w:val="001560ED"/>
    <w:rsid w:val="001563F1"/>
    <w:rsid w:val="0015660E"/>
    <w:rsid w:val="001572A5"/>
    <w:rsid w:val="0015737A"/>
    <w:rsid w:val="00157847"/>
    <w:rsid w:val="00160786"/>
    <w:rsid w:val="00160A67"/>
    <w:rsid w:val="00161AEB"/>
    <w:rsid w:val="00162262"/>
    <w:rsid w:val="00162BD5"/>
    <w:rsid w:val="001630E4"/>
    <w:rsid w:val="001639BC"/>
    <w:rsid w:val="001644EB"/>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002"/>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218"/>
    <w:rsid w:val="002116CA"/>
    <w:rsid w:val="002127E3"/>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1A4"/>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C16"/>
    <w:rsid w:val="00297DBE"/>
    <w:rsid w:val="002A0724"/>
    <w:rsid w:val="002A07C1"/>
    <w:rsid w:val="002A08EC"/>
    <w:rsid w:val="002A18CE"/>
    <w:rsid w:val="002A1BD6"/>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5284"/>
    <w:rsid w:val="002B7C8F"/>
    <w:rsid w:val="002B7FB1"/>
    <w:rsid w:val="002C0364"/>
    <w:rsid w:val="002C0397"/>
    <w:rsid w:val="002C0779"/>
    <w:rsid w:val="002C0DE6"/>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2F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0A7"/>
    <w:rsid w:val="00314280"/>
    <w:rsid w:val="003158FE"/>
    <w:rsid w:val="00315DD9"/>
    <w:rsid w:val="003162B5"/>
    <w:rsid w:val="00316717"/>
    <w:rsid w:val="00316E5E"/>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3EDC"/>
    <w:rsid w:val="00335250"/>
    <w:rsid w:val="0033592C"/>
    <w:rsid w:val="00335B9C"/>
    <w:rsid w:val="00336164"/>
    <w:rsid w:val="00337F4D"/>
    <w:rsid w:val="0034150F"/>
    <w:rsid w:val="0034298C"/>
    <w:rsid w:val="0034305B"/>
    <w:rsid w:val="00343E84"/>
    <w:rsid w:val="003444EB"/>
    <w:rsid w:val="00344778"/>
    <w:rsid w:val="00344F78"/>
    <w:rsid w:val="0034511B"/>
    <w:rsid w:val="00345740"/>
    <w:rsid w:val="003504EC"/>
    <w:rsid w:val="003509B5"/>
    <w:rsid w:val="00350EF6"/>
    <w:rsid w:val="00351118"/>
    <w:rsid w:val="003522C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1B2A"/>
    <w:rsid w:val="00362C5A"/>
    <w:rsid w:val="00362FFF"/>
    <w:rsid w:val="00364283"/>
    <w:rsid w:val="003643CE"/>
    <w:rsid w:val="00364C7A"/>
    <w:rsid w:val="003656D5"/>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1E99"/>
    <w:rsid w:val="00392C0A"/>
    <w:rsid w:val="00393367"/>
    <w:rsid w:val="003937C8"/>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295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07687"/>
    <w:rsid w:val="0041093B"/>
    <w:rsid w:val="00410BEC"/>
    <w:rsid w:val="004111BE"/>
    <w:rsid w:val="00412215"/>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5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46FFB"/>
    <w:rsid w:val="00450D3B"/>
    <w:rsid w:val="00450D54"/>
    <w:rsid w:val="00450E4C"/>
    <w:rsid w:val="004518D5"/>
    <w:rsid w:val="00451B17"/>
    <w:rsid w:val="00451BEB"/>
    <w:rsid w:val="00451E3C"/>
    <w:rsid w:val="00452891"/>
    <w:rsid w:val="00453DEF"/>
    <w:rsid w:val="004543E4"/>
    <w:rsid w:val="004548E5"/>
    <w:rsid w:val="00455648"/>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322"/>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038"/>
    <w:rsid w:val="004A6F8B"/>
    <w:rsid w:val="004A705C"/>
    <w:rsid w:val="004A70E9"/>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510"/>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9A9"/>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A9"/>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6B9A"/>
    <w:rsid w:val="00577005"/>
    <w:rsid w:val="005770BC"/>
    <w:rsid w:val="005777FA"/>
    <w:rsid w:val="00577BE7"/>
    <w:rsid w:val="00581367"/>
    <w:rsid w:val="005818D9"/>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4A8"/>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894"/>
    <w:rsid w:val="005E1F47"/>
    <w:rsid w:val="005E260D"/>
    <w:rsid w:val="005E2C31"/>
    <w:rsid w:val="005E35FD"/>
    <w:rsid w:val="005E383F"/>
    <w:rsid w:val="005E3F88"/>
    <w:rsid w:val="005E5220"/>
    <w:rsid w:val="005E7342"/>
    <w:rsid w:val="005E7698"/>
    <w:rsid w:val="005E77D7"/>
    <w:rsid w:val="005E7CAF"/>
    <w:rsid w:val="005E7E5E"/>
    <w:rsid w:val="005F0931"/>
    <w:rsid w:val="005F0C46"/>
    <w:rsid w:val="005F1FE4"/>
    <w:rsid w:val="005F2AF8"/>
    <w:rsid w:val="005F371A"/>
    <w:rsid w:val="005F3F7F"/>
    <w:rsid w:val="005F4950"/>
    <w:rsid w:val="005F499E"/>
    <w:rsid w:val="005F4AC6"/>
    <w:rsid w:val="005F55AA"/>
    <w:rsid w:val="005F55CC"/>
    <w:rsid w:val="005F55E3"/>
    <w:rsid w:val="005F5A99"/>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907"/>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4D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112F"/>
    <w:rsid w:val="0068226B"/>
    <w:rsid w:val="00682ED3"/>
    <w:rsid w:val="0068370B"/>
    <w:rsid w:val="00684BDE"/>
    <w:rsid w:val="00684FBD"/>
    <w:rsid w:val="00685535"/>
    <w:rsid w:val="00685D3B"/>
    <w:rsid w:val="00687817"/>
    <w:rsid w:val="0069008A"/>
    <w:rsid w:val="00690881"/>
    <w:rsid w:val="00691B58"/>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E7C8E"/>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CAD"/>
    <w:rsid w:val="00712D0F"/>
    <w:rsid w:val="0071374D"/>
    <w:rsid w:val="007137DB"/>
    <w:rsid w:val="007146D9"/>
    <w:rsid w:val="00714D12"/>
    <w:rsid w:val="00714D3C"/>
    <w:rsid w:val="00714F44"/>
    <w:rsid w:val="0071649C"/>
    <w:rsid w:val="007167B9"/>
    <w:rsid w:val="0071705C"/>
    <w:rsid w:val="00717267"/>
    <w:rsid w:val="007178EE"/>
    <w:rsid w:val="00717C8F"/>
    <w:rsid w:val="00717CA5"/>
    <w:rsid w:val="00720484"/>
    <w:rsid w:val="007214AF"/>
    <w:rsid w:val="00721569"/>
    <w:rsid w:val="00721E1D"/>
    <w:rsid w:val="00722752"/>
    <w:rsid w:val="00722B12"/>
    <w:rsid w:val="00722CD9"/>
    <w:rsid w:val="00722E33"/>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020"/>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20B"/>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2F0"/>
    <w:rsid w:val="007A33C1"/>
    <w:rsid w:val="007A33FF"/>
    <w:rsid w:val="007A4C0C"/>
    <w:rsid w:val="007A5493"/>
    <w:rsid w:val="007A58C8"/>
    <w:rsid w:val="007A5A5A"/>
    <w:rsid w:val="007A5BC2"/>
    <w:rsid w:val="007A618D"/>
    <w:rsid w:val="007A6771"/>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6AAB"/>
    <w:rsid w:val="007D7042"/>
    <w:rsid w:val="007D7059"/>
    <w:rsid w:val="007D7A3E"/>
    <w:rsid w:val="007D7B54"/>
    <w:rsid w:val="007E0C8C"/>
    <w:rsid w:val="007E1479"/>
    <w:rsid w:val="007E1BF0"/>
    <w:rsid w:val="007E1C10"/>
    <w:rsid w:val="007E1CB1"/>
    <w:rsid w:val="007E1F36"/>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692"/>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6432"/>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182"/>
    <w:rsid w:val="008343CB"/>
    <w:rsid w:val="00834512"/>
    <w:rsid w:val="00835544"/>
    <w:rsid w:val="00835967"/>
    <w:rsid w:val="00835B82"/>
    <w:rsid w:val="0083657B"/>
    <w:rsid w:val="00836762"/>
    <w:rsid w:val="00837D87"/>
    <w:rsid w:val="0084059F"/>
    <w:rsid w:val="00840634"/>
    <w:rsid w:val="00841875"/>
    <w:rsid w:val="00841D09"/>
    <w:rsid w:val="00841E9F"/>
    <w:rsid w:val="00841FBF"/>
    <w:rsid w:val="00842061"/>
    <w:rsid w:val="00843971"/>
    <w:rsid w:val="00843AFD"/>
    <w:rsid w:val="00843B71"/>
    <w:rsid w:val="00843BDF"/>
    <w:rsid w:val="00844468"/>
    <w:rsid w:val="008444F8"/>
    <w:rsid w:val="0084549C"/>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3FC2"/>
    <w:rsid w:val="0087404E"/>
    <w:rsid w:val="008744DD"/>
    <w:rsid w:val="00874C48"/>
    <w:rsid w:val="0087504C"/>
    <w:rsid w:val="008751A1"/>
    <w:rsid w:val="00875394"/>
    <w:rsid w:val="0087554C"/>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098"/>
    <w:rsid w:val="0089549F"/>
    <w:rsid w:val="008954B3"/>
    <w:rsid w:val="008958EF"/>
    <w:rsid w:val="008959F1"/>
    <w:rsid w:val="00895F27"/>
    <w:rsid w:val="008970B5"/>
    <w:rsid w:val="008971D9"/>
    <w:rsid w:val="008A0473"/>
    <w:rsid w:val="008A16AE"/>
    <w:rsid w:val="008A24BD"/>
    <w:rsid w:val="008A2593"/>
    <w:rsid w:val="008A2B4D"/>
    <w:rsid w:val="008A349C"/>
    <w:rsid w:val="008A36ED"/>
    <w:rsid w:val="008A3FFD"/>
    <w:rsid w:val="008A422F"/>
    <w:rsid w:val="008A42D8"/>
    <w:rsid w:val="008A45B1"/>
    <w:rsid w:val="008A59E9"/>
    <w:rsid w:val="008A6605"/>
    <w:rsid w:val="008A668F"/>
    <w:rsid w:val="008A6A11"/>
    <w:rsid w:val="008A6C6F"/>
    <w:rsid w:val="008A70C3"/>
    <w:rsid w:val="008A71B7"/>
    <w:rsid w:val="008A72A4"/>
    <w:rsid w:val="008A75C5"/>
    <w:rsid w:val="008A7669"/>
    <w:rsid w:val="008A7819"/>
    <w:rsid w:val="008B01A2"/>
    <w:rsid w:val="008B0872"/>
    <w:rsid w:val="008B0DCC"/>
    <w:rsid w:val="008B1651"/>
    <w:rsid w:val="008B2DEB"/>
    <w:rsid w:val="008B3537"/>
    <w:rsid w:val="008B3D4F"/>
    <w:rsid w:val="008B46E7"/>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3C8"/>
    <w:rsid w:val="008D5E0F"/>
    <w:rsid w:val="008D5FCD"/>
    <w:rsid w:val="008D64BA"/>
    <w:rsid w:val="008D6C6B"/>
    <w:rsid w:val="008D6F90"/>
    <w:rsid w:val="008D7615"/>
    <w:rsid w:val="008D76A0"/>
    <w:rsid w:val="008E0E8C"/>
    <w:rsid w:val="008E16C5"/>
    <w:rsid w:val="008E2051"/>
    <w:rsid w:val="008E2525"/>
    <w:rsid w:val="008E34C5"/>
    <w:rsid w:val="008E356A"/>
    <w:rsid w:val="008E3BCB"/>
    <w:rsid w:val="008E3BEB"/>
    <w:rsid w:val="008E412D"/>
    <w:rsid w:val="008E4145"/>
    <w:rsid w:val="008E451A"/>
    <w:rsid w:val="008E455C"/>
    <w:rsid w:val="008E4E8B"/>
    <w:rsid w:val="008E5867"/>
    <w:rsid w:val="008E5D5A"/>
    <w:rsid w:val="008E6240"/>
    <w:rsid w:val="008E6D2D"/>
    <w:rsid w:val="008E7167"/>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74A"/>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2E"/>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EA"/>
    <w:rsid w:val="00940DF4"/>
    <w:rsid w:val="00941A1C"/>
    <w:rsid w:val="00942CAE"/>
    <w:rsid w:val="00943048"/>
    <w:rsid w:val="0094335F"/>
    <w:rsid w:val="00943704"/>
    <w:rsid w:val="009439ED"/>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182"/>
    <w:rsid w:val="009515E0"/>
    <w:rsid w:val="00951995"/>
    <w:rsid w:val="00951B63"/>
    <w:rsid w:val="00951C7E"/>
    <w:rsid w:val="00951CF6"/>
    <w:rsid w:val="009520A6"/>
    <w:rsid w:val="009536DA"/>
    <w:rsid w:val="009537A7"/>
    <w:rsid w:val="00954320"/>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119"/>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5EF3"/>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571B"/>
    <w:rsid w:val="009A637B"/>
    <w:rsid w:val="009A67CD"/>
    <w:rsid w:val="009A6B64"/>
    <w:rsid w:val="009A788B"/>
    <w:rsid w:val="009A7E1C"/>
    <w:rsid w:val="009B003C"/>
    <w:rsid w:val="009B0B91"/>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5B7A"/>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1C6E"/>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C8A"/>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388"/>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1720"/>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CB6"/>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9AA"/>
    <w:rsid w:val="00B05A41"/>
    <w:rsid w:val="00B06241"/>
    <w:rsid w:val="00B07988"/>
    <w:rsid w:val="00B07EDA"/>
    <w:rsid w:val="00B10276"/>
    <w:rsid w:val="00B11AC8"/>
    <w:rsid w:val="00B11C22"/>
    <w:rsid w:val="00B11E9A"/>
    <w:rsid w:val="00B12262"/>
    <w:rsid w:val="00B13818"/>
    <w:rsid w:val="00B13C59"/>
    <w:rsid w:val="00B14DDF"/>
    <w:rsid w:val="00B14E6C"/>
    <w:rsid w:val="00B151C6"/>
    <w:rsid w:val="00B15CC4"/>
    <w:rsid w:val="00B171DA"/>
    <w:rsid w:val="00B17793"/>
    <w:rsid w:val="00B17D79"/>
    <w:rsid w:val="00B17F5F"/>
    <w:rsid w:val="00B20057"/>
    <w:rsid w:val="00B208A5"/>
    <w:rsid w:val="00B209B5"/>
    <w:rsid w:val="00B20E2B"/>
    <w:rsid w:val="00B21CA7"/>
    <w:rsid w:val="00B22651"/>
    <w:rsid w:val="00B22CE2"/>
    <w:rsid w:val="00B23116"/>
    <w:rsid w:val="00B23216"/>
    <w:rsid w:val="00B23960"/>
    <w:rsid w:val="00B24165"/>
    <w:rsid w:val="00B2484E"/>
    <w:rsid w:val="00B24C37"/>
    <w:rsid w:val="00B24F49"/>
    <w:rsid w:val="00B255A7"/>
    <w:rsid w:val="00B25A70"/>
    <w:rsid w:val="00B25F9A"/>
    <w:rsid w:val="00B263DD"/>
    <w:rsid w:val="00B27080"/>
    <w:rsid w:val="00B272D3"/>
    <w:rsid w:val="00B31F85"/>
    <w:rsid w:val="00B3276F"/>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AB8"/>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4736"/>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611"/>
    <w:rsid w:val="00BB1D67"/>
    <w:rsid w:val="00BB214E"/>
    <w:rsid w:val="00BB23BD"/>
    <w:rsid w:val="00BB301E"/>
    <w:rsid w:val="00BB3936"/>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763"/>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378"/>
    <w:rsid w:val="00BD2A08"/>
    <w:rsid w:val="00BD2A23"/>
    <w:rsid w:val="00BD2FB1"/>
    <w:rsid w:val="00BD3636"/>
    <w:rsid w:val="00BD386B"/>
    <w:rsid w:val="00BD3C69"/>
    <w:rsid w:val="00BD3D7A"/>
    <w:rsid w:val="00BD471D"/>
    <w:rsid w:val="00BD48CD"/>
    <w:rsid w:val="00BD4EA5"/>
    <w:rsid w:val="00BD567C"/>
    <w:rsid w:val="00BD5A65"/>
    <w:rsid w:val="00BD674B"/>
    <w:rsid w:val="00BD689C"/>
    <w:rsid w:val="00BD68BE"/>
    <w:rsid w:val="00BD737D"/>
    <w:rsid w:val="00BD7F9E"/>
    <w:rsid w:val="00BE09DC"/>
    <w:rsid w:val="00BE0D74"/>
    <w:rsid w:val="00BE1378"/>
    <w:rsid w:val="00BE1A06"/>
    <w:rsid w:val="00BE1D4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CF"/>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5F04"/>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01"/>
    <w:rsid w:val="00C40FA9"/>
    <w:rsid w:val="00C41332"/>
    <w:rsid w:val="00C419A3"/>
    <w:rsid w:val="00C41B56"/>
    <w:rsid w:val="00C41D2B"/>
    <w:rsid w:val="00C426E6"/>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09A"/>
    <w:rsid w:val="00C5337B"/>
    <w:rsid w:val="00C544CA"/>
    <w:rsid w:val="00C54C62"/>
    <w:rsid w:val="00C54E06"/>
    <w:rsid w:val="00C55231"/>
    <w:rsid w:val="00C563DF"/>
    <w:rsid w:val="00C56A1D"/>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36AD"/>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941"/>
    <w:rsid w:val="00C93DE2"/>
    <w:rsid w:val="00C94BD7"/>
    <w:rsid w:val="00C95730"/>
    <w:rsid w:val="00C95962"/>
    <w:rsid w:val="00C96FBB"/>
    <w:rsid w:val="00C96FE0"/>
    <w:rsid w:val="00C97A35"/>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147"/>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48C1"/>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2C1"/>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1EC"/>
    <w:rsid w:val="00CE75DE"/>
    <w:rsid w:val="00CE762E"/>
    <w:rsid w:val="00CE76BD"/>
    <w:rsid w:val="00CE7AB3"/>
    <w:rsid w:val="00CE7CDF"/>
    <w:rsid w:val="00CF00D0"/>
    <w:rsid w:val="00CF02AC"/>
    <w:rsid w:val="00CF06E6"/>
    <w:rsid w:val="00CF0CD7"/>
    <w:rsid w:val="00CF11C2"/>
    <w:rsid w:val="00CF13B7"/>
    <w:rsid w:val="00CF14DB"/>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C60"/>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5A5B"/>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4F8"/>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3BB"/>
    <w:rsid w:val="00D53407"/>
    <w:rsid w:val="00D535D2"/>
    <w:rsid w:val="00D53768"/>
    <w:rsid w:val="00D54135"/>
    <w:rsid w:val="00D5456B"/>
    <w:rsid w:val="00D55044"/>
    <w:rsid w:val="00D5521C"/>
    <w:rsid w:val="00D554E6"/>
    <w:rsid w:val="00D5578F"/>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91C"/>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4A4"/>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4896"/>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7E"/>
    <w:rsid w:val="00DC76BA"/>
    <w:rsid w:val="00DD132F"/>
    <w:rsid w:val="00DD1521"/>
    <w:rsid w:val="00DD1C2F"/>
    <w:rsid w:val="00DD1ED7"/>
    <w:rsid w:val="00DD242B"/>
    <w:rsid w:val="00DD2C54"/>
    <w:rsid w:val="00DD3430"/>
    <w:rsid w:val="00DD35A0"/>
    <w:rsid w:val="00DD4546"/>
    <w:rsid w:val="00DD6396"/>
    <w:rsid w:val="00DD6C70"/>
    <w:rsid w:val="00DD6E8E"/>
    <w:rsid w:val="00DD70C8"/>
    <w:rsid w:val="00DD7F36"/>
    <w:rsid w:val="00DE0C03"/>
    <w:rsid w:val="00DE21CF"/>
    <w:rsid w:val="00DE273A"/>
    <w:rsid w:val="00DE2C64"/>
    <w:rsid w:val="00DE3E7C"/>
    <w:rsid w:val="00DE4134"/>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8AD"/>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B06"/>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DC6"/>
    <w:rsid w:val="00E85FB9"/>
    <w:rsid w:val="00E86072"/>
    <w:rsid w:val="00E86752"/>
    <w:rsid w:val="00E86D0D"/>
    <w:rsid w:val="00E873F1"/>
    <w:rsid w:val="00E87AE6"/>
    <w:rsid w:val="00E9009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37F1"/>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58A0"/>
    <w:rsid w:val="00ED6435"/>
    <w:rsid w:val="00ED6CAC"/>
    <w:rsid w:val="00ED73A4"/>
    <w:rsid w:val="00ED7CC2"/>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960"/>
    <w:rsid w:val="00EF4E5E"/>
    <w:rsid w:val="00EF4F32"/>
    <w:rsid w:val="00EF6848"/>
    <w:rsid w:val="00EF754B"/>
    <w:rsid w:val="00EF7CE1"/>
    <w:rsid w:val="00F000F0"/>
    <w:rsid w:val="00F00122"/>
    <w:rsid w:val="00F00923"/>
    <w:rsid w:val="00F009F4"/>
    <w:rsid w:val="00F00C9D"/>
    <w:rsid w:val="00F01090"/>
    <w:rsid w:val="00F01A06"/>
    <w:rsid w:val="00F01A58"/>
    <w:rsid w:val="00F0219B"/>
    <w:rsid w:val="00F023A1"/>
    <w:rsid w:val="00F0301D"/>
    <w:rsid w:val="00F03891"/>
    <w:rsid w:val="00F046B1"/>
    <w:rsid w:val="00F04932"/>
    <w:rsid w:val="00F04CF6"/>
    <w:rsid w:val="00F04ED5"/>
    <w:rsid w:val="00F05BA0"/>
    <w:rsid w:val="00F05EED"/>
    <w:rsid w:val="00F062B0"/>
    <w:rsid w:val="00F06F02"/>
    <w:rsid w:val="00F06FF0"/>
    <w:rsid w:val="00F077C0"/>
    <w:rsid w:val="00F0783A"/>
    <w:rsid w:val="00F07C4E"/>
    <w:rsid w:val="00F10555"/>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37BD3"/>
    <w:rsid w:val="00F40036"/>
    <w:rsid w:val="00F41605"/>
    <w:rsid w:val="00F41F9B"/>
    <w:rsid w:val="00F42049"/>
    <w:rsid w:val="00F4240E"/>
    <w:rsid w:val="00F42C2B"/>
    <w:rsid w:val="00F4355A"/>
    <w:rsid w:val="00F43F18"/>
    <w:rsid w:val="00F4406A"/>
    <w:rsid w:val="00F44100"/>
    <w:rsid w:val="00F44833"/>
    <w:rsid w:val="00F44D2F"/>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25C8"/>
    <w:rsid w:val="00F94440"/>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72A"/>
    <w:rsid w:val="00FA1D8F"/>
    <w:rsid w:val="00FA1E61"/>
    <w:rsid w:val="00FA2FA0"/>
    <w:rsid w:val="00FA35AF"/>
    <w:rsid w:val="00FA436E"/>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506"/>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412493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66343787">
      <w:bodyDiv w:val="1"/>
      <w:marLeft w:val="0"/>
      <w:marRight w:val="0"/>
      <w:marTop w:val="0"/>
      <w:marBottom w:val="0"/>
      <w:divBdr>
        <w:top w:val="none" w:sz="0" w:space="0" w:color="auto"/>
        <w:left w:val="none" w:sz="0" w:space="0" w:color="auto"/>
        <w:bottom w:val="none" w:sz="0" w:space="0" w:color="auto"/>
        <w:right w:val="none" w:sz="0" w:space="0" w:color="auto"/>
      </w:divBdr>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hart" Target="charts/chart1.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656811326648112"/>
          <c:y val="5.0409158977827155E-2"/>
          <c:w val="0.6948645007295936"/>
          <c:h val="0.73520731687680141"/>
        </c:manualLayout>
      </c:layout>
      <c:scatterChart>
        <c:scatterStyle val="lineMarker"/>
        <c:varyColors val="0"/>
        <c:ser>
          <c:idx val="0"/>
          <c:order val="0"/>
          <c:tx>
            <c:v>500us</c:v>
          </c:tx>
          <c:spPr>
            <a:ln w="25400" cap="rnd">
              <a:noFill/>
              <a:round/>
            </a:ln>
            <a:effectLst/>
          </c:spPr>
          <c:marker>
            <c:symbol val="circle"/>
            <c:size val="5"/>
            <c:spPr>
              <a:solidFill>
                <a:schemeClr val="accent1"/>
              </a:solidFill>
              <a:ln w="9525">
                <a:solidFill>
                  <a:schemeClr val="accent1"/>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Sheet1!$D$3:$D$5</c:f>
              <c:numCache>
                <c:formatCode>General</c:formatCode>
                <c:ptCount val="3"/>
                <c:pt idx="0">
                  <c:v>0</c:v>
                </c:pt>
                <c:pt idx="1">
                  <c:v>0.28000000000000003</c:v>
                </c:pt>
                <c:pt idx="2">
                  <c:v>10.7</c:v>
                </c:pt>
              </c:numCache>
            </c:numRef>
          </c:yVal>
          <c:smooth val="0"/>
          <c:extLst>
            <c:ext xmlns:c16="http://schemas.microsoft.com/office/drawing/2014/chart" uri="{C3380CC4-5D6E-409C-BE32-E72D297353CC}">
              <c16:uniqueId val="{00000000-0677-4365-BC84-9CFEF23FD12A}"/>
            </c:ext>
          </c:extLst>
        </c:ser>
        <c:ser>
          <c:idx val="2"/>
          <c:order val="1"/>
          <c:tx>
            <c:v>750us</c:v>
          </c:tx>
          <c:spPr>
            <a:ln w="25400" cap="rnd">
              <a:no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Sheet1!$F$3:$F$5</c:f>
              <c:numCache>
                <c:formatCode>General</c:formatCode>
                <c:ptCount val="3"/>
                <c:pt idx="0">
                  <c:v>0</c:v>
                </c:pt>
                <c:pt idx="1">
                  <c:v>3.94</c:v>
                </c:pt>
                <c:pt idx="2">
                  <c:v>15.8</c:v>
                </c:pt>
              </c:numCache>
            </c:numRef>
          </c:yVal>
          <c:smooth val="0"/>
          <c:extLst>
            <c:ext xmlns:c16="http://schemas.microsoft.com/office/drawing/2014/chart" uri="{C3380CC4-5D6E-409C-BE32-E72D297353CC}">
              <c16:uniqueId val="{00000001-0677-4365-BC84-9CFEF23FD12A}"/>
            </c:ext>
          </c:extLst>
        </c:ser>
        <c:ser>
          <c:idx val="1"/>
          <c:order val="2"/>
          <c:tx>
            <c:v>1000us</c:v>
          </c:tx>
          <c:spPr>
            <a:ln w="25400" cap="rnd">
              <a:noFill/>
              <a:round/>
            </a:ln>
            <a:effectLst/>
          </c:spPr>
          <c:marker>
            <c:symbol val="circle"/>
            <c:size val="5"/>
            <c:spPr>
              <a:solidFill>
                <a:schemeClr val="accent2"/>
              </a:solidFill>
              <a:ln w="9525">
                <a:solidFill>
                  <a:schemeClr val="accent2"/>
                </a:solidFill>
              </a:ln>
              <a:effectLst/>
            </c:spPr>
          </c:marker>
          <c:dLbls>
            <c:spPr>
              <a:noFill/>
              <a:ln>
                <a:noFill/>
              </a:ln>
              <a:effectLst/>
            </c:spPr>
            <c:txPr>
              <a:bodyPr rot="0" spcFirstLastPara="1" vertOverflow="ellipsis" vert="horz" wrap="square" lIns="38100" tIns="19050" rIns="38100" bIns="19050" anchor="ctr" anchorCtr="1">
                <a:spAutoFit/>
              </a:bodyPr>
              <a:lstStyle/>
              <a:p>
                <a:pPr>
                  <a:defRPr sz="1200" b="0" i="0" u="none" strike="noStrike" kern="1200" baseline="0">
                    <a:solidFill>
                      <a:schemeClr val="tx1">
                        <a:lumMod val="75000"/>
                        <a:lumOff val="25000"/>
                      </a:schemeClr>
                    </a:solidFill>
                    <a:latin typeface="+mn-lt"/>
                    <a:ea typeface="+mn-ea"/>
                    <a:cs typeface="+mn-cs"/>
                  </a:defRPr>
                </a:pPr>
                <a:endParaRPr lang="en-US"/>
              </a:p>
            </c:txPr>
            <c:dLblPos val="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xVal>
            <c:numRef>
              <c:f>Sheet1!$C$3:$C$5</c:f>
              <c:numCache>
                <c:formatCode>General</c:formatCode>
                <c:ptCount val="3"/>
                <c:pt idx="0">
                  <c:v>5</c:v>
                </c:pt>
                <c:pt idx="1">
                  <c:v>10</c:v>
                </c:pt>
                <c:pt idx="2">
                  <c:v>20</c:v>
                </c:pt>
              </c:numCache>
            </c:numRef>
          </c:xVal>
          <c:yVal>
            <c:numRef>
              <c:f>Sheet1!$H$3:$H$5</c:f>
              <c:numCache>
                <c:formatCode>General</c:formatCode>
                <c:ptCount val="3"/>
                <c:pt idx="0">
                  <c:v>0</c:v>
                </c:pt>
                <c:pt idx="1">
                  <c:v>6.2</c:v>
                </c:pt>
                <c:pt idx="2">
                  <c:v>16.899999999999999</c:v>
                </c:pt>
              </c:numCache>
            </c:numRef>
          </c:yVal>
          <c:smooth val="0"/>
          <c:extLst>
            <c:ext xmlns:c16="http://schemas.microsoft.com/office/drawing/2014/chart" uri="{C3380CC4-5D6E-409C-BE32-E72D297353CC}">
              <c16:uniqueId val="{00000002-0677-4365-BC84-9CFEF23FD12A}"/>
            </c:ext>
          </c:extLst>
        </c:ser>
        <c:dLbls>
          <c:dLblPos val="r"/>
          <c:showLegendKey val="0"/>
          <c:showVal val="1"/>
          <c:showCatName val="0"/>
          <c:showSerName val="0"/>
          <c:showPercent val="0"/>
          <c:showBubbleSize val="0"/>
        </c:dLbls>
        <c:axId val="141555520"/>
        <c:axId val="141557872"/>
      </c:scatterChart>
      <c:valAx>
        <c:axId val="1415555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Reserved BW for URLLC (MHz)</a:t>
                </a:r>
              </a:p>
            </c:rich>
          </c:tx>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7872"/>
        <c:crosses val="autoZero"/>
        <c:crossBetween val="midCat"/>
      </c:valAx>
      <c:valAx>
        <c:axId val="141557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r>
                  <a:rPr lang="en-US" sz="1200" baseline="0"/>
                  <a:t>System capacity (Mbps)</a:t>
                </a:r>
              </a:p>
            </c:rich>
          </c:tx>
          <c:overlay val="0"/>
          <c:spPr>
            <a:noFill/>
            <a:ln>
              <a:noFill/>
            </a:ln>
            <a:effectLst/>
          </c:spPr>
          <c:txPr>
            <a:bodyPr rot="-54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crossAx val="141555520"/>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12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panose="020F0302020204030204"/>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3.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4.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81A190A9-357F-40D3-A3FA-5FCD251A4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1407</Words>
  <Characters>8021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9410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5</cp:revision>
  <cp:lastPrinted>2010-10-04T23:31:00Z</cp:lastPrinted>
  <dcterms:created xsi:type="dcterms:W3CDTF">2017-09-29T23:48:00Z</dcterms:created>
  <dcterms:modified xsi:type="dcterms:W3CDTF">2017-09-30T02:34:00Z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NewReviewCycle">
    <vt:lpwstr/>
  </property>
</Properties>
</file>